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CD99C" w14:textId="77777777" w:rsidR="00D626D0" w:rsidRPr="00225DD0" w:rsidRDefault="00473876" w:rsidP="00FD45A8">
      <w:pPr>
        <w:pStyle w:val="SH"/>
        <w:rPr>
          <w:rFonts w:ascii="Calibri" w:hAnsi="Calibri" w:cs="Calibri"/>
        </w:rPr>
      </w:pPr>
      <w:r w:rsidRPr="00225DD0">
        <w:rPr>
          <w:rFonts w:ascii="Calibri" w:hAnsi="Calibri" w:cs="Calibri"/>
        </w:rPr>
        <w:t>Method of Approach</w:t>
      </w:r>
    </w:p>
    <w:p w14:paraId="28D53341" w14:textId="77777777" w:rsidR="00D626D0" w:rsidRPr="00225DD0" w:rsidRDefault="00473876" w:rsidP="0043637D">
      <w:pPr>
        <w:pStyle w:val="Q1"/>
        <w:ind w:firstLine="0"/>
        <w:rPr>
          <w:rFonts w:ascii="Calibri" w:hAnsi="Calibri" w:cs="Calibri"/>
          <w:sz w:val="22"/>
          <w:szCs w:val="22"/>
        </w:rPr>
      </w:pPr>
      <w:r w:rsidRPr="00225DD0">
        <w:rPr>
          <w:rFonts w:ascii="Calibri" w:hAnsi="Calibri" w:cs="Calibri"/>
          <w:sz w:val="22"/>
          <w:szCs w:val="22"/>
        </w:rPr>
        <w:t>5.2.1.1. Describe the procedures, if applicable, for the transition of member care to the Offeror’s services to minimize disruption of care and to address member and family concerns.</w:t>
      </w:r>
    </w:p>
    <w:p w14:paraId="161C0893" w14:textId="77777777" w:rsidR="00D626D0" w:rsidRPr="00225DD0" w:rsidRDefault="00473876">
      <w:pPr>
        <w:spacing w:line="260" w:lineRule="auto"/>
        <w:rPr>
          <w:rFonts w:ascii="Calibri" w:hAnsi="Calibri" w:cs="Calibri"/>
          <w:sz w:val="22"/>
          <w:szCs w:val="22"/>
        </w:rPr>
      </w:pPr>
      <w:r w:rsidRPr="00225DD0">
        <w:rPr>
          <w:rFonts w:ascii="Calibri" w:hAnsi="Calibri" w:cs="Calibri"/>
          <w:sz w:val="22"/>
          <w:szCs w:val="22"/>
        </w:rPr>
        <w:t>Accredo will collaborate with AHCCCS and the patient’s prescriber to ensure the successful transition of your specialty prescription drug program. As a part of the implementation process, we will assign an implementation project manager to support the overall implementation plan for AHCCCS. Your implementation project manager will identify critical operational, financial, and business issues that may impact the specialty pharmacy program implementation.</w:t>
      </w:r>
    </w:p>
    <w:p w14:paraId="4C81BF93" w14:textId="77777777" w:rsidR="00D626D0" w:rsidRPr="00225DD0" w:rsidRDefault="00473876">
      <w:pPr>
        <w:spacing w:after="120" w:line="260" w:lineRule="auto"/>
        <w:rPr>
          <w:rFonts w:ascii="Calibri" w:hAnsi="Calibri" w:cs="Calibri"/>
          <w:sz w:val="22"/>
          <w:szCs w:val="22"/>
        </w:rPr>
      </w:pPr>
      <w:r w:rsidRPr="00225DD0">
        <w:rPr>
          <w:rFonts w:ascii="Calibri" w:hAnsi="Calibri" w:cs="Calibri"/>
          <w:sz w:val="22"/>
          <w:szCs w:val="22"/>
        </w:rPr>
        <w:t>In partnership with your account team, AHCCCS will determine the best communications strategy for transitioning specialty members. Among the communication and processes we recommend are:</w:t>
      </w:r>
    </w:p>
    <w:p w14:paraId="289F51E1" w14:textId="77777777" w:rsidR="00D626D0" w:rsidRPr="00225DD0" w:rsidRDefault="00473876" w:rsidP="0043637D">
      <w:pPr>
        <w:pStyle w:val="DB1"/>
        <w:numPr>
          <w:ilvl w:val="0"/>
          <w:numId w:val="30"/>
        </w:numPr>
        <w:spacing w:after="0" w:line="293" w:lineRule="auto"/>
        <w:jc w:val="both"/>
        <w:rPr>
          <w:rFonts w:ascii="Calibri" w:hAnsi="Calibri" w:cs="Calibri"/>
          <w:sz w:val="22"/>
          <w:szCs w:val="22"/>
        </w:rPr>
      </w:pPr>
      <w:r w:rsidRPr="00225DD0">
        <w:rPr>
          <w:rFonts w:ascii="Calibri" w:hAnsi="Calibri" w:cs="Calibri"/>
          <w:sz w:val="22"/>
          <w:szCs w:val="22"/>
        </w:rPr>
        <w:t>Direct patient visits as required by our Customer Relations Specialist to assist in the transition</w:t>
      </w:r>
    </w:p>
    <w:p w14:paraId="0314F8A9" w14:textId="77777777" w:rsidR="00D626D0" w:rsidRPr="00225DD0" w:rsidRDefault="00473876" w:rsidP="0043637D">
      <w:pPr>
        <w:pStyle w:val="DB1"/>
        <w:numPr>
          <w:ilvl w:val="0"/>
          <w:numId w:val="30"/>
        </w:numPr>
        <w:spacing w:after="0" w:line="293" w:lineRule="auto"/>
        <w:jc w:val="both"/>
        <w:rPr>
          <w:rFonts w:ascii="Calibri" w:hAnsi="Calibri" w:cs="Calibri"/>
          <w:sz w:val="22"/>
          <w:szCs w:val="22"/>
        </w:rPr>
      </w:pPr>
      <w:r w:rsidRPr="00225DD0">
        <w:rPr>
          <w:rFonts w:ascii="Calibri" w:hAnsi="Calibri" w:cs="Calibri"/>
          <w:sz w:val="22"/>
          <w:szCs w:val="22"/>
        </w:rPr>
        <w:t>Written communication and outbound calls to impacted physicians and members</w:t>
      </w:r>
    </w:p>
    <w:p w14:paraId="56942FA7" w14:textId="77777777" w:rsidR="00D626D0" w:rsidRPr="00225DD0" w:rsidRDefault="00473876" w:rsidP="0043637D">
      <w:pPr>
        <w:pStyle w:val="DB1"/>
        <w:numPr>
          <w:ilvl w:val="0"/>
          <w:numId w:val="30"/>
        </w:numPr>
        <w:spacing w:after="0" w:line="293" w:lineRule="auto"/>
        <w:jc w:val="both"/>
        <w:rPr>
          <w:rFonts w:ascii="Calibri" w:hAnsi="Calibri" w:cs="Calibri"/>
          <w:sz w:val="22"/>
          <w:szCs w:val="22"/>
        </w:rPr>
      </w:pPr>
      <w:r w:rsidRPr="00225DD0">
        <w:rPr>
          <w:rFonts w:ascii="Calibri" w:hAnsi="Calibri" w:cs="Calibri"/>
          <w:sz w:val="22"/>
          <w:szCs w:val="22"/>
        </w:rPr>
        <w:t>Outbound calls to members to inform them of the transition</w:t>
      </w:r>
    </w:p>
    <w:p w14:paraId="0DF505B8" w14:textId="77777777" w:rsidR="00D626D0" w:rsidRPr="00225DD0" w:rsidRDefault="00473876" w:rsidP="0043637D">
      <w:pPr>
        <w:pStyle w:val="DB1"/>
        <w:numPr>
          <w:ilvl w:val="0"/>
          <w:numId w:val="30"/>
        </w:numPr>
        <w:spacing w:after="0" w:line="293" w:lineRule="auto"/>
        <w:jc w:val="both"/>
        <w:rPr>
          <w:rFonts w:ascii="Calibri" w:hAnsi="Calibri" w:cs="Calibri"/>
          <w:sz w:val="22"/>
          <w:szCs w:val="22"/>
        </w:rPr>
      </w:pPr>
      <w:r w:rsidRPr="00225DD0">
        <w:rPr>
          <w:rFonts w:ascii="Calibri" w:hAnsi="Calibri" w:cs="Calibri"/>
          <w:sz w:val="22"/>
          <w:szCs w:val="22"/>
        </w:rPr>
        <w:t>Customized campaigns via mail and email initiated by AHCCCS</w:t>
      </w:r>
    </w:p>
    <w:p w14:paraId="0BE92B7B" w14:textId="77777777" w:rsidR="00D626D0" w:rsidRPr="00225DD0" w:rsidRDefault="00473876" w:rsidP="0043637D">
      <w:pPr>
        <w:pStyle w:val="DB1"/>
        <w:numPr>
          <w:ilvl w:val="0"/>
          <w:numId w:val="30"/>
        </w:numPr>
        <w:spacing w:line="293" w:lineRule="auto"/>
        <w:jc w:val="both"/>
        <w:rPr>
          <w:rFonts w:ascii="Calibri" w:hAnsi="Calibri" w:cs="Calibri"/>
          <w:sz w:val="22"/>
          <w:szCs w:val="22"/>
        </w:rPr>
      </w:pPr>
      <w:r w:rsidRPr="00225DD0">
        <w:rPr>
          <w:rFonts w:ascii="Calibri" w:hAnsi="Calibri" w:cs="Calibri"/>
          <w:sz w:val="22"/>
          <w:szCs w:val="22"/>
        </w:rPr>
        <w:t>Client newsletters</w:t>
      </w:r>
    </w:p>
    <w:p w14:paraId="0B35B3AD" w14:textId="77777777" w:rsidR="00D626D0" w:rsidRPr="00225DD0" w:rsidRDefault="00473876" w:rsidP="0043637D">
      <w:pPr>
        <w:spacing w:before="240" w:after="160" w:line="260" w:lineRule="auto"/>
        <w:rPr>
          <w:rFonts w:ascii="Calibri" w:hAnsi="Calibri" w:cs="Calibri"/>
          <w:sz w:val="22"/>
          <w:szCs w:val="22"/>
        </w:rPr>
      </w:pPr>
      <w:r w:rsidRPr="00225DD0">
        <w:rPr>
          <w:rFonts w:ascii="Calibri" w:hAnsi="Calibri" w:cs="Calibri"/>
          <w:sz w:val="22"/>
          <w:szCs w:val="22"/>
        </w:rPr>
        <w:t>We believe that broad and effective communications to your contracted members and physicians will help ensure a successful transition. Our field-based team conducts in-person visits with prescribers to ensure they are fully informed of the transition plan and answer any questions about our services.</w:t>
      </w:r>
    </w:p>
    <w:p w14:paraId="263AAAD9" w14:textId="77777777" w:rsidR="00D626D0" w:rsidRPr="00225DD0" w:rsidRDefault="00473876" w:rsidP="0043637D">
      <w:pPr>
        <w:pStyle w:val="H1"/>
        <w:spacing w:before="240"/>
        <w:rPr>
          <w:rFonts w:ascii="Calibri" w:hAnsi="Calibri" w:cs="Calibri"/>
          <w:sz w:val="22"/>
          <w:szCs w:val="22"/>
        </w:rPr>
      </w:pPr>
      <w:r w:rsidRPr="00225DD0">
        <w:rPr>
          <w:rFonts w:ascii="Calibri" w:hAnsi="Calibri" w:cs="Calibri"/>
          <w:sz w:val="22"/>
          <w:szCs w:val="22"/>
        </w:rPr>
        <w:t>Transferring Open Refills for Members</w:t>
      </w:r>
    </w:p>
    <w:p w14:paraId="33B906BF" w14:textId="77777777" w:rsidR="00D626D0" w:rsidRPr="00225DD0" w:rsidRDefault="00473876">
      <w:pPr>
        <w:pStyle w:val="P1"/>
        <w:spacing w:after="120" w:line="260" w:lineRule="auto"/>
        <w:rPr>
          <w:rFonts w:ascii="Calibri" w:hAnsi="Calibri" w:cs="Calibri"/>
          <w:sz w:val="22"/>
          <w:szCs w:val="22"/>
        </w:rPr>
      </w:pPr>
      <w:r w:rsidRPr="00225DD0">
        <w:rPr>
          <w:rFonts w:ascii="Calibri" w:hAnsi="Calibri" w:cs="Calibri"/>
          <w:sz w:val="22"/>
          <w:szCs w:val="22"/>
        </w:rPr>
        <w:t>We will work with AHCCCS to determine our approach to transitioning open refills for specialty drugs from the current dispensing entity. Members obtaining specialty pharmacy prescriptions through another vendor or from their physician may choose one of the following options for transferring specialty pharmacy prescriptions to Accredo:</w:t>
      </w:r>
    </w:p>
    <w:p w14:paraId="5C44A4E7" w14:textId="77777777" w:rsidR="00D626D0" w:rsidRPr="00225DD0" w:rsidRDefault="00473876" w:rsidP="0043637D">
      <w:pPr>
        <w:pStyle w:val="P1"/>
        <w:numPr>
          <w:ilvl w:val="0"/>
          <w:numId w:val="31"/>
        </w:numPr>
        <w:spacing w:after="0" w:line="276" w:lineRule="auto"/>
        <w:rPr>
          <w:rFonts w:ascii="Calibri" w:hAnsi="Calibri" w:cs="Calibri"/>
          <w:sz w:val="22"/>
          <w:szCs w:val="22"/>
        </w:rPr>
      </w:pPr>
      <w:r w:rsidRPr="00225DD0">
        <w:rPr>
          <w:rFonts w:ascii="Calibri" w:hAnsi="Calibri" w:cs="Calibri"/>
          <w:sz w:val="22"/>
          <w:szCs w:val="22"/>
        </w:rPr>
        <w:t>Contact our patient service representatives to initiate the next fill of existing prescriptions</w:t>
      </w:r>
    </w:p>
    <w:p w14:paraId="507711C0" w14:textId="77777777" w:rsidR="00D626D0" w:rsidRPr="00225DD0" w:rsidRDefault="00473876" w:rsidP="0043637D">
      <w:pPr>
        <w:pStyle w:val="P1"/>
        <w:numPr>
          <w:ilvl w:val="0"/>
          <w:numId w:val="31"/>
        </w:numPr>
        <w:spacing w:after="0" w:line="276" w:lineRule="auto"/>
        <w:rPr>
          <w:rFonts w:ascii="Calibri" w:hAnsi="Calibri" w:cs="Calibri"/>
          <w:sz w:val="22"/>
          <w:szCs w:val="22"/>
        </w:rPr>
      </w:pPr>
      <w:r w:rsidRPr="00225DD0">
        <w:rPr>
          <w:rFonts w:ascii="Calibri" w:hAnsi="Calibri" w:cs="Calibri"/>
          <w:sz w:val="22"/>
          <w:szCs w:val="22"/>
        </w:rPr>
        <w:t>Request that the physician submit a prescription directly to our pharmacy electronically via telephone or our specialty fax line</w:t>
      </w:r>
    </w:p>
    <w:p w14:paraId="02F0D8CE" w14:textId="77777777" w:rsidR="00D626D0" w:rsidRPr="00225DD0" w:rsidRDefault="00473876" w:rsidP="0043637D">
      <w:pPr>
        <w:pStyle w:val="P1"/>
        <w:numPr>
          <w:ilvl w:val="0"/>
          <w:numId w:val="31"/>
        </w:numPr>
        <w:spacing w:after="0" w:line="276" w:lineRule="auto"/>
        <w:rPr>
          <w:rFonts w:ascii="Calibri" w:hAnsi="Calibri" w:cs="Calibri"/>
          <w:sz w:val="22"/>
          <w:szCs w:val="22"/>
        </w:rPr>
      </w:pPr>
      <w:r w:rsidRPr="00225DD0">
        <w:rPr>
          <w:rFonts w:ascii="Calibri" w:hAnsi="Calibri" w:cs="Calibri"/>
          <w:sz w:val="22"/>
          <w:szCs w:val="22"/>
        </w:rPr>
        <w:t>Obtain a new prescription from the physician and submit it to our pharmacy</w:t>
      </w:r>
    </w:p>
    <w:p w14:paraId="6CBA1972" w14:textId="77777777" w:rsidR="00D626D0" w:rsidRPr="00225DD0" w:rsidRDefault="00473876" w:rsidP="0043637D">
      <w:pPr>
        <w:pStyle w:val="P1"/>
        <w:numPr>
          <w:ilvl w:val="0"/>
          <w:numId w:val="31"/>
        </w:numPr>
        <w:spacing w:after="0" w:line="276" w:lineRule="auto"/>
        <w:rPr>
          <w:rFonts w:ascii="Calibri" w:hAnsi="Calibri" w:cs="Calibri"/>
          <w:sz w:val="22"/>
          <w:szCs w:val="22"/>
        </w:rPr>
      </w:pPr>
      <w:r w:rsidRPr="00225DD0">
        <w:rPr>
          <w:rFonts w:ascii="Calibri" w:hAnsi="Calibri" w:cs="Calibri"/>
          <w:sz w:val="22"/>
          <w:szCs w:val="22"/>
        </w:rPr>
        <w:t>Accredo is also willing to have our pharmacists and nurses meet with AHCCS' clinical staff to access each patient’s condition, nuances with treatment regimens and obtaining new prescription orders for ease of transition  </w:t>
      </w:r>
    </w:p>
    <w:p w14:paraId="3A6F169D" w14:textId="77777777" w:rsidR="0043637D" w:rsidRPr="00225DD0" w:rsidRDefault="00CE0177" w:rsidP="0043637D">
      <w:pPr>
        <w:pStyle w:val="P1"/>
        <w:numPr>
          <w:ilvl w:val="0"/>
          <w:numId w:val="31"/>
        </w:numPr>
        <w:spacing w:line="276" w:lineRule="auto"/>
        <w:rPr>
          <w:rFonts w:ascii="Calibri" w:hAnsi="Calibri" w:cs="Calibri"/>
          <w:sz w:val="22"/>
          <w:szCs w:val="22"/>
        </w:rPr>
      </w:pPr>
      <w:r w:rsidRPr="00225DD0">
        <w:rPr>
          <w:rFonts w:ascii="Calibri" w:hAnsi="Calibri" w:cs="Calibri"/>
          <w:sz w:val="22"/>
          <w:szCs w:val="22"/>
        </w:rPr>
        <w:lastRenderedPageBreak/>
        <w:t>Our staff can meet with individual physicians or groups of providers to educate them about our specialty services, the ordering process, referral forms, specific drug information, and member lists. We staff a Physician Engagement team, which is trained to deliver a consistent message to physician sales offices. Physician Engagement team representatives can coordinate meetings, conference calls, or office visits to provide education and training on a variety of specialty topics. Physician Engagement helps to reduce the administrative burden in the physician’s office by providing support and regular contact with providers.</w:t>
      </w:r>
    </w:p>
    <w:p w14:paraId="52C35AAD" w14:textId="77777777" w:rsidR="00CE0177" w:rsidRPr="00225DD0" w:rsidRDefault="00CE0177" w:rsidP="0043637D">
      <w:pPr>
        <w:pStyle w:val="P1"/>
        <w:spacing w:line="276" w:lineRule="auto"/>
        <w:rPr>
          <w:rFonts w:ascii="Calibri" w:hAnsi="Calibri" w:cs="Calibri"/>
          <w:sz w:val="22"/>
          <w:szCs w:val="22"/>
        </w:rPr>
      </w:pPr>
      <w:r w:rsidRPr="00225DD0">
        <w:rPr>
          <w:rFonts w:ascii="Calibri" w:hAnsi="Calibri" w:cs="Calibri"/>
          <w:sz w:val="22"/>
          <w:szCs w:val="22"/>
        </w:rPr>
        <w:t>Our Physician Engagement team also works to educate providers of our offerings. Physician communications include several key messages, emphasizing our following strengths:</w:t>
      </w:r>
    </w:p>
    <w:p w14:paraId="2B7A904A" w14:textId="77777777" w:rsidR="00CE0177" w:rsidRPr="00225DD0" w:rsidRDefault="00CE0177" w:rsidP="00CE0177">
      <w:pPr>
        <w:pStyle w:val="P1"/>
        <w:numPr>
          <w:ilvl w:val="0"/>
          <w:numId w:val="27"/>
        </w:numPr>
        <w:spacing w:after="0" w:line="276" w:lineRule="auto"/>
        <w:rPr>
          <w:rFonts w:ascii="Calibri" w:hAnsi="Calibri" w:cs="Calibri"/>
          <w:sz w:val="22"/>
          <w:szCs w:val="22"/>
        </w:rPr>
      </w:pPr>
      <w:r w:rsidRPr="00225DD0">
        <w:rPr>
          <w:rFonts w:ascii="Calibri" w:hAnsi="Calibri" w:cs="Calibri"/>
          <w:sz w:val="22"/>
          <w:szCs w:val="22"/>
        </w:rPr>
        <w:t>Pharmacists and clinicians who specialize in specialty drugs and therapies</w:t>
      </w:r>
    </w:p>
    <w:p w14:paraId="17FE40E0" w14:textId="77777777" w:rsidR="00CE0177" w:rsidRPr="00225DD0" w:rsidRDefault="00CE0177" w:rsidP="00CE0177">
      <w:pPr>
        <w:pStyle w:val="P1"/>
        <w:numPr>
          <w:ilvl w:val="0"/>
          <w:numId w:val="27"/>
        </w:numPr>
        <w:spacing w:after="0" w:line="276" w:lineRule="auto"/>
        <w:rPr>
          <w:rFonts w:ascii="Calibri" w:hAnsi="Calibri" w:cs="Calibri"/>
          <w:sz w:val="22"/>
          <w:szCs w:val="22"/>
        </w:rPr>
      </w:pPr>
      <w:r w:rsidRPr="00225DD0">
        <w:rPr>
          <w:rFonts w:ascii="Calibri" w:hAnsi="Calibri" w:cs="Calibri"/>
          <w:sz w:val="22"/>
          <w:szCs w:val="22"/>
        </w:rPr>
        <w:t>Access to a wide range of medications</w:t>
      </w:r>
    </w:p>
    <w:p w14:paraId="100B8AA0" w14:textId="77777777" w:rsidR="00CE0177" w:rsidRPr="00225DD0" w:rsidRDefault="00CE0177" w:rsidP="00CE0177">
      <w:pPr>
        <w:pStyle w:val="P1"/>
        <w:numPr>
          <w:ilvl w:val="0"/>
          <w:numId w:val="27"/>
        </w:numPr>
        <w:spacing w:after="0" w:line="276" w:lineRule="auto"/>
        <w:rPr>
          <w:rFonts w:ascii="Calibri" w:hAnsi="Calibri" w:cs="Calibri"/>
          <w:sz w:val="22"/>
          <w:szCs w:val="22"/>
        </w:rPr>
      </w:pPr>
      <w:r w:rsidRPr="00225DD0">
        <w:rPr>
          <w:rFonts w:ascii="Calibri" w:hAnsi="Calibri" w:cs="Calibri"/>
          <w:sz w:val="22"/>
          <w:szCs w:val="22"/>
        </w:rPr>
        <w:t>Patient follow-up and refill reminders</w:t>
      </w:r>
    </w:p>
    <w:p w14:paraId="25D1C6E9" w14:textId="77777777" w:rsidR="00CE0177" w:rsidRPr="00225DD0" w:rsidRDefault="00CE0177" w:rsidP="00CE0177">
      <w:pPr>
        <w:pStyle w:val="P1"/>
        <w:numPr>
          <w:ilvl w:val="0"/>
          <w:numId w:val="27"/>
        </w:numPr>
        <w:spacing w:after="0" w:line="276" w:lineRule="auto"/>
        <w:rPr>
          <w:rFonts w:ascii="Calibri" w:hAnsi="Calibri" w:cs="Calibri"/>
          <w:sz w:val="22"/>
          <w:szCs w:val="22"/>
        </w:rPr>
      </w:pPr>
      <w:r w:rsidRPr="00225DD0">
        <w:rPr>
          <w:rFonts w:ascii="Calibri" w:hAnsi="Calibri" w:cs="Calibri"/>
          <w:sz w:val="22"/>
          <w:szCs w:val="22"/>
        </w:rPr>
        <w:t>Disease-specific education for patients</w:t>
      </w:r>
    </w:p>
    <w:p w14:paraId="7BC8A79E" w14:textId="77777777" w:rsidR="00CE0177" w:rsidRPr="00225DD0" w:rsidRDefault="00CE0177" w:rsidP="00CE0177">
      <w:pPr>
        <w:pStyle w:val="P1"/>
        <w:numPr>
          <w:ilvl w:val="0"/>
          <w:numId w:val="27"/>
        </w:numPr>
        <w:spacing w:after="0" w:line="276" w:lineRule="auto"/>
        <w:rPr>
          <w:rFonts w:ascii="Calibri" w:hAnsi="Calibri" w:cs="Calibri"/>
          <w:sz w:val="22"/>
          <w:szCs w:val="22"/>
        </w:rPr>
      </w:pPr>
      <w:r w:rsidRPr="00225DD0">
        <w:rPr>
          <w:rFonts w:ascii="Calibri" w:hAnsi="Calibri" w:cs="Calibri"/>
          <w:sz w:val="22"/>
          <w:szCs w:val="22"/>
        </w:rPr>
        <w:t>Billing, reimbursement, and authorization support</w:t>
      </w:r>
    </w:p>
    <w:p w14:paraId="5BD34378" w14:textId="77777777" w:rsidR="00CE0177" w:rsidRPr="00225DD0" w:rsidRDefault="00CE0177" w:rsidP="0043637D">
      <w:pPr>
        <w:pStyle w:val="P1"/>
        <w:numPr>
          <w:ilvl w:val="0"/>
          <w:numId w:val="27"/>
        </w:numPr>
        <w:spacing w:line="276" w:lineRule="auto"/>
        <w:rPr>
          <w:rFonts w:ascii="Calibri" w:hAnsi="Calibri" w:cs="Calibri"/>
          <w:sz w:val="22"/>
          <w:szCs w:val="22"/>
        </w:rPr>
      </w:pPr>
      <w:r w:rsidRPr="00225DD0">
        <w:rPr>
          <w:rFonts w:ascii="Calibri" w:hAnsi="Calibri" w:cs="Calibri"/>
          <w:sz w:val="22"/>
          <w:szCs w:val="22"/>
        </w:rPr>
        <w:t>Ability to alleviate the administrative burden placed on physician office staff</w:t>
      </w:r>
    </w:p>
    <w:p w14:paraId="52D04229" w14:textId="77777777" w:rsidR="00CE0177" w:rsidRPr="00225DD0" w:rsidRDefault="00CE0177" w:rsidP="0043637D">
      <w:pPr>
        <w:pStyle w:val="P1"/>
        <w:spacing w:line="276" w:lineRule="auto"/>
        <w:rPr>
          <w:rFonts w:ascii="Calibri" w:hAnsi="Calibri" w:cs="Calibri"/>
          <w:sz w:val="22"/>
          <w:szCs w:val="22"/>
        </w:rPr>
      </w:pPr>
      <w:r w:rsidRPr="00225DD0">
        <w:rPr>
          <w:rFonts w:ascii="Calibri" w:hAnsi="Calibri" w:cs="Calibri"/>
          <w:sz w:val="22"/>
          <w:szCs w:val="22"/>
        </w:rPr>
        <w:t>Our physician support team consists of approximately 167 individuals who provide national coverage supporting prescribers across all states. This team has expertise and knowledge of specialty medications, the disease states they treat, how they are administered, and nursing services required to support our patients.</w:t>
      </w:r>
    </w:p>
    <w:p w14:paraId="1A870A7F" w14:textId="77777777" w:rsidR="00D626D0" w:rsidRPr="00225DD0" w:rsidRDefault="00473876" w:rsidP="0043637D">
      <w:pPr>
        <w:pStyle w:val="Q1"/>
        <w:ind w:firstLine="0"/>
        <w:rPr>
          <w:rFonts w:ascii="Calibri" w:hAnsi="Calibri" w:cs="Calibri"/>
          <w:sz w:val="22"/>
          <w:szCs w:val="22"/>
        </w:rPr>
      </w:pPr>
      <w:r w:rsidRPr="00225DD0">
        <w:rPr>
          <w:rFonts w:ascii="Calibri" w:hAnsi="Calibri" w:cs="Calibri"/>
          <w:sz w:val="22"/>
          <w:szCs w:val="22"/>
        </w:rPr>
        <w:t>5.2.1.2. Describe how the Offeror ensures the availability of adequate anti-hemophilic and blood disorder medications and supplies.</w:t>
      </w:r>
    </w:p>
    <w:p w14:paraId="49AA5751" w14:textId="77777777" w:rsidR="00D626D0" w:rsidRPr="00225DD0" w:rsidRDefault="00473876">
      <w:pPr>
        <w:spacing w:line="276" w:lineRule="auto"/>
        <w:rPr>
          <w:rFonts w:ascii="Calibri" w:hAnsi="Calibri" w:cs="Calibri"/>
          <w:sz w:val="22"/>
          <w:szCs w:val="22"/>
        </w:rPr>
      </w:pPr>
      <w:r w:rsidRPr="00225DD0">
        <w:rPr>
          <w:rFonts w:ascii="Calibri" w:hAnsi="Calibri" w:cs="Calibri"/>
          <w:sz w:val="22"/>
          <w:szCs w:val="22"/>
        </w:rPr>
        <w:t>As one of the nation’s largest purchasers of clotting factor, we currently distribute all FDA-approved products from all clotting factor manufacturers in the United States. Our review of your current data did not indicate any issues with supplying all the historical factor products. We maintain a supply of factor in each of our 27 pharmacies around the country. AHCCCS will be serviced from our Arizona facility in Tempe. During implementation, Accredo will adjust the inventory level in Tempe to fully maintain an adequate supply of blood disorder products and supplies to service your members.  </w:t>
      </w:r>
    </w:p>
    <w:p w14:paraId="26E4AC92" w14:textId="77777777" w:rsidR="00D626D0" w:rsidRPr="00225DD0" w:rsidRDefault="00473876">
      <w:pPr>
        <w:spacing w:after="120" w:line="276" w:lineRule="auto"/>
        <w:rPr>
          <w:rFonts w:ascii="Calibri" w:hAnsi="Calibri" w:cs="Calibri"/>
          <w:sz w:val="22"/>
          <w:szCs w:val="22"/>
        </w:rPr>
      </w:pPr>
      <w:r w:rsidRPr="00225DD0">
        <w:rPr>
          <w:rFonts w:ascii="Calibri" w:hAnsi="Calibri" w:cs="Calibri"/>
          <w:sz w:val="22"/>
          <w:szCs w:val="22"/>
        </w:rPr>
        <w:t>In the unlikely event that we do not have the prescribed factor product in stock, we first canvass our pharmacies for availability and adjust the shipment. If unavailable from our stock, we contact the manufacturer to purchase the product in the prescribed strength and fill the prescription as ordered. We then maintain the product as part of our standard inventory to ensure availability.</w:t>
      </w:r>
    </w:p>
    <w:p w14:paraId="2DBD3754" w14:textId="77777777" w:rsidR="00D626D0" w:rsidRPr="00225DD0" w:rsidRDefault="00473876" w:rsidP="0043637D">
      <w:pPr>
        <w:pStyle w:val="Q1"/>
        <w:ind w:firstLine="0"/>
        <w:rPr>
          <w:rFonts w:ascii="Calibri" w:hAnsi="Calibri" w:cs="Calibri"/>
          <w:sz w:val="22"/>
          <w:szCs w:val="22"/>
        </w:rPr>
      </w:pPr>
      <w:r w:rsidRPr="00225DD0">
        <w:rPr>
          <w:rFonts w:ascii="Calibri" w:hAnsi="Calibri" w:cs="Calibri"/>
          <w:sz w:val="22"/>
          <w:szCs w:val="22"/>
        </w:rPr>
        <w:t>5.2.1.3. Describe how the Offeror will provide personalized education and enhanced monitoring, including addressing issues of member non-compliance.</w:t>
      </w:r>
    </w:p>
    <w:p w14:paraId="4F0066A2" w14:textId="77777777" w:rsidR="00D626D0" w:rsidRPr="00225DD0" w:rsidRDefault="00473876">
      <w:pPr>
        <w:pStyle w:val="P1"/>
        <w:spacing w:line="276" w:lineRule="auto"/>
        <w:rPr>
          <w:rFonts w:ascii="Calibri" w:hAnsi="Calibri" w:cs="Calibri"/>
          <w:sz w:val="22"/>
          <w:szCs w:val="22"/>
        </w:rPr>
      </w:pPr>
      <w:r w:rsidRPr="00225DD0">
        <w:rPr>
          <w:rFonts w:ascii="Calibri" w:hAnsi="Calibri" w:cs="Calibri"/>
          <w:sz w:val="22"/>
          <w:szCs w:val="22"/>
        </w:rPr>
        <w:t>Our Bleeding Disorders Specialty Care Management program — developed by specialized clinicians and approved by the Express Scripts Therapeutic Assessment Committee — includes proactive one-on-one consultations between patients and our specialized team of clinical experts according to individual therapy needs.</w:t>
      </w:r>
    </w:p>
    <w:p w14:paraId="5D6E3BE0"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lastRenderedPageBreak/>
        <w:t>Accredo’s Bleeding Disorders program staff educates and empowers patients with bleeding disorders. By providing the patient with information on how to manage the disorder, the program minimizes the pharmacy and medical costs related to bleeding episodes.</w:t>
      </w:r>
    </w:p>
    <w:p w14:paraId="68FBF736" w14:textId="77777777" w:rsidR="00D626D0" w:rsidRPr="00225DD0" w:rsidRDefault="00473876" w:rsidP="003D0655">
      <w:pPr>
        <w:pStyle w:val="P1"/>
        <w:spacing w:before="0" w:line="276" w:lineRule="auto"/>
        <w:rPr>
          <w:rFonts w:ascii="Calibri" w:hAnsi="Calibri" w:cs="Calibri"/>
          <w:sz w:val="22"/>
          <w:szCs w:val="22"/>
        </w:rPr>
      </w:pPr>
      <w:r w:rsidRPr="00225DD0">
        <w:rPr>
          <w:rFonts w:ascii="Calibri" w:hAnsi="Calibri" w:cs="Calibri"/>
          <w:sz w:val="22"/>
          <w:szCs w:val="22"/>
        </w:rPr>
        <w:t>We supplement the program with a national network of nurses and providers trained in bleeding disorders, as well as a Bleeding Disorder Therapeutic Resource Center.</w:t>
      </w:r>
    </w:p>
    <w:p w14:paraId="2547AF9B" w14:textId="77777777" w:rsidR="00D626D0" w:rsidRPr="00225DD0" w:rsidRDefault="00473876" w:rsidP="003D0655">
      <w:pPr>
        <w:pStyle w:val="H1"/>
        <w:spacing w:before="0" w:after="160" w:line="396" w:lineRule="auto"/>
        <w:rPr>
          <w:rFonts w:ascii="Calibri" w:hAnsi="Calibri" w:cs="Calibri"/>
          <w:sz w:val="22"/>
          <w:szCs w:val="22"/>
        </w:rPr>
      </w:pPr>
      <w:r w:rsidRPr="00225DD0">
        <w:rPr>
          <w:rFonts w:ascii="Calibri" w:hAnsi="Calibri" w:cs="Calibri"/>
          <w:sz w:val="22"/>
          <w:szCs w:val="22"/>
        </w:rPr>
        <w:t>Educational Materials</w:t>
      </w:r>
    </w:p>
    <w:p w14:paraId="4A2890BE"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We offer comprehensive patient and physician education and communication materials, including infusion logs, patient welcome packets, education booklets, and patient case conferences. Educational materials are available in English and Spanish.</w:t>
      </w:r>
    </w:p>
    <w:p w14:paraId="1145B526"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Accredo’s welcome packet includes:</w:t>
      </w:r>
    </w:p>
    <w:p w14:paraId="3A432A67" w14:textId="77777777" w:rsidR="00D626D0" w:rsidRPr="00225DD0" w:rsidRDefault="00473876" w:rsidP="003D0655">
      <w:pPr>
        <w:pStyle w:val="DB1"/>
        <w:numPr>
          <w:ilvl w:val="0"/>
          <w:numId w:val="32"/>
        </w:numPr>
        <w:spacing w:after="0" w:line="293" w:lineRule="auto"/>
        <w:rPr>
          <w:rFonts w:ascii="Calibri" w:hAnsi="Calibri" w:cs="Calibri"/>
          <w:sz w:val="22"/>
          <w:szCs w:val="22"/>
        </w:rPr>
      </w:pPr>
      <w:r w:rsidRPr="00225DD0">
        <w:rPr>
          <w:rFonts w:ascii="Calibri" w:hAnsi="Calibri" w:cs="Calibri"/>
          <w:color w:val="000101"/>
          <w:sz w:val="22"/>
          <w:szCs w:val="22"/>
        </w:rPr>
        <w:t>A Guide to Managing the Bleeding Disorder</w:t>
      </w:r>
    </w:p>
    <w:p w14:paraId="3DBE82B7" w14:textId="77777777" w:rsidR="00D626D0" w:rsidRPr="00225DD0" w:rsidRDefault="00473876" w:rsidP="003D0655">
      <w:pPr>
        <w:pStyle w:val="DB1"/>
        <w:numPr>
          <w:ilvl w:val="0"/>
          <w:numId w:val="32"/>
        </w:numPr>
        <w:spacing w:after="0" w:line="293" w:lineRule="auto"/>
        <w:rPr>
          <w:rFonts w:ascii="Calibri" w:hAnsi="Calibri" w:cs="Calibri"/>
          <w:sz w:val="22"/>
          <w:szCs w:val="22"/>
        </w:rPr>
      </w:pPr>
      <w:r w:rsidRPr="00225DD0">
        <w:rPr>
          <w:rFonts w:ascii="Calibri" w:hAnsi="Calibri" w:cs="Calibri"/>
          <w:color w:val="000101"/>
          <w:sz w:val="22"/>
          <w:szCs w:val="22"/>
        </w:rPr>
        <w:t>ER Quick Reference Guide, which is designed to help educate emergency room physicians and facilitate a positive experience when the patient is in need of emergency support</w:t>
      </w:r>
    </w:p>
    <w:p w14:paraId="50A98364" w14:textId="77777777" w:rsidR="00D626D0" w:rsidRPr="00225DD0" w:rsidRDefault="00473876" w:rsidP="003D0655">
      <w:pPr>
        <w:pStyle w:val="DB1"/>
        <w:numPr>
          <w:ilvl w:val="0"/>
          <w:numId w:val="32"/>
        </w:numPr>
        <w:spacing w:after="0" w:line="293" w:lineRule="auto"/>
        <w:rPr>
          <w:rFonts w:ascii="Calibri" w:hAnsi="Calibri" w:cs="Calibri"/>
          <w:sz w:val="22"/>
          <w:szCs w:val="22"/>
        </w:rPr>
      </w:pPr>
      <w:r w:rsidRPr="00225DD0">
        <w:rPr>
          <w:rFonts w:ascii="Calibri" w:hAnsi="Calibri" w:cs="Calibri"/>
          <w:color w:val="000101"/>
          <w:sz w:val="22"/>
          <w:szCs w:val="22"/>
        </w:rPr>
        <w:t>Living with Hemophilia/von Willebrand Disease, which is geared toward the experiences of patients and their caregivers</w:t>
      </w:r>
    </w:p>
    <w:p w14:paraId="12227629"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Other patient resources include: a Guide to Venous Access Devices; Importance of rest, ice, elevation, and compression (RICE); Educator’s and Coach’s Guide to Bleeding Disorders; disease-specific medication record cards; infusion logs; and hemophilia.com, which allows patients and caregivers to access educational information electronically.</w:t>
      </w:r>
    </w:p>
    <w:p w14:paraId="4F1BCCC6" w14:textId="77777777" w:rsidR="00D626D0" w:rsidRPr="00225DD0" w:rsidRDefault="00473876" w:rsidP="003D0655">
      <w:pPr>
        <w:pStyle w:val="P1"/>
        <w:spacing w:before="0" w:line="276" w:lineRule="auto"/>
        <w:rPr>
          <w:rFonts w:ascii="Calibri" w:hAnsi="Calibri" w:cs="Calibri"/>
          <w:sz w:val="22"/>
          <w:szCs w:val="22"/>
        </w:rPr>
      </w:pPr>
      <w:r w:rsidRPr="00225DD0">
        <w:rPr>
          <w:rFonts w:ascii="Calibri" w:hAnsi="Calibri" w:cs="Calibri"/>
          <w:sz w:val="22"/>
          <w:szCs w:val="22"/>
        </w:rPr>
        <w:t>In addition, Accredo has the Bleeding Disorder ER Poster, specifically designed for emergency rooms to assist in the evaluation and management of people with bleeding disorders.</w:t>
      </w:r>
    </w:p>
    <w:p w14:paraId="788BA583" w14:textId="77777777" w:rsidR="00D626D0" w:rsidRPr="00225DD0" w:rsidRDefault="00473876" w:rsidP="003D0655">
      <w:pPr>
        <w:pStyle w:val="H1"/>
        <w:spacing w:before="0" w:after="160" w:line="396" w:lineRule="auto"/>
        <w:rPr>
          <w:rFonts w:ascii="Calibri" w:hAnsi="Calibri" w:cs="Calibri"/>
          <w:sz w:val="22"/>
          <w:szCs w:val="22"/>
        </w:rPr>
      </w:pPr>
      <w:r w:rsidRPr="00225DD0">
        <w:rPr>
          <w:rFonts w:ascii="Calibri" w:hAnsi="Calibri" w:cs="Calibri"/>
          <w:sz w:val="22"/>
          <w:szCs w:val="22"/>
        </w:rPr>
        <w:t>Patient-Centered Education</w:t>
      </w:r>
    </w:p>
    <w:p w14:paraId="20598DC6"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Additionally, during our initial patient assessment, educational needs are established and then addressed in the most appropriate way for the patient relative to the patient’s identified need. For instance, if the patient or caregiver expresses lack of confidence in identifying appropriate veins for infusion, Accredo staff will contact the physician’s office to discuss the potential need for additional hands-on infusion training by one of our nurses. When a patient starts service with Accredo, we can provide the patient with an in-home nurse visit with a physician order as part of our therapy management service. This is available at no additional cost to AHCCCS. The purpose of the visit is to evaluate the patient’s home environment, verify initial inventory on hand, determine infusion supply preferences, and identify and address the patient’s educational needs.</w:t>
      </w:r>
    </w:p>
    <w:p w14:paraId="26A0B016"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Each proactive outreach by Accredo staff reinforces the principles of good management, including in-home factor and infusion supply inventory management, prompt infusion of factor when bleeds are identified, planning for invasive procedures, and the importance of adherence to the physician-prescribed therapy regimen.</w:t>
      </w:r>
    </w:p>
    <w:p w14:paraId="7D8FF695"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Events that have the potential to be classified as an adverse event are reported to the patient’s physician for direction on how to proceed. Adverse reactions as reported by a patient, the patient’s caregiver, or a nurse are documented in the patient’s electronic medical record and are then evaluated by a team of clinicians to determine whether a medication was the cause.</w:t>
      </w:r>
    </w:p>
    <w:p w14:paraId="16F3B3FC"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lastRenderedPageBreak/>
        <w:t>At each proactive contact, new allergies are recorded for review by the clinical pharmacist. Additionally, any new medications, including herbs and supplements, are recorded in the assessment. A pharmacist reviews all medication additions for the potential for bleeding complications, counsels the patient accordingly, and notifies the patient’s physician. Every contact with a patient or caregiver serves as an opportunity to reinforce principles of appropriate hemophilia management.</w:t>
      </w:r>
    </w:p>
    <w:p w14:paraId="1E4C75C8" w14:textId="77777777" w:rsidR="00D626D0" w:rsidRPr="00225DD0" w:rsidRDefault="00473876">
      <w:pPr>
        <w:pStyle w:val="P1"/>
        <w:spacing w:line="276" w:lineRule="auto"/>
        <w:rPr>
          <w:rFonts w:ascii="Calibri" w:hAnsi="Calibri" w:cs="Calibri"/>
          <w:sz w:val="22"/>
          <w:szCs w:val="22"/>
        </w:rPr>
      </w:pPr>
      <w:r w:rsidRPr="00225DD0">
        <w:rPr>
          <w:rFonts w:ascii="Calibri" w:hAnsi="Calibri" w:cs="Calibri"/>
          <w:sz w:val="22"/>
          <w:szCs w:val="22"/>
        </w:rPr>
        <w:t>At each proactive outreach, patients are asked about planned invasive surgical and dental procedures. When any are identified, Accredo pharmacists contact the prescriber who manages their bleeding disorder for specific instructions, factor, and adjunctive therapy prescriptions for the procedure. Accredo staff will then counsel the patient regarding the new instructions and coordinate the delivery of needed products and supplies to the appropriate location. In the event that the patient does not routinely self-infuse factor, Accredo will obtain orders for nursing services so that our nurses can provide therapy.</w:t>
      </w:r>
    </w:p>
    <w:p w14:paraId="764F4C13"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 xml:space="preserve">Please note that Accredo also has a proprietary suite of children’s programs called </w:t>
      </w:r>
      <w:r w:rsidR="00CE0177" w:rsidRPr="00225DD0">
        <w:rPr>
          <w:rFonts w:ascii="Calibri" w:hAnsi="Calibri" w:cs="Calibri"/>
          <w:sz w:val="22"/>
          <w:szCs w:val="22"/>
        </w:rPr>
        <w:t>Junior Care Force</w:t>
      </w:r>
      <w:r w:rsidRPr="00225DD0">
        <w:rPr>
          <w:rFonts w:ascii="Calibri" w:hAnsi="Calibri" w:cs="Calibri"/>
          <w:sz w:val="22"/>
          <w:szCs w:val="22"/>
        </w:rPr>
        <w:t>. These programs are designed to engage children in learning about bleeding disorders at a young age while making it fun. Programs include My Amazing Blood, My Amazing Body, and Junior Scientist.</w:t>
      </w:r>
    </w:p>
    <w:p w14:paraId="5B266D9C" w14:textId="77777777" w:rsidR="00D626D0" w:rsidRPr="00225DD0" w:rsidRDefault="00473876" w:rsidP="003D0655">
      <w:pPr>
        <w:pStyle w:val="P1"/>
        <w:spacing w:before="0" w:after="120" w:line="276" w:lineRule="auto"/>
        <w:rPr>
          <w:rFonts w:ascii="Calibri" w:hAnsi="Calibri" w:cs="Calibri"/>
          <w:sz w:val="22"/>
          <w:szCs w:val="22"/>
        </w:rPr>
      </w:pPr>
      <w:r w:rsidRPr="00225DD0">
        <w:rPr>
          <w:rFonts w:ascii="Calibri" w:hAnsi="Calibri" w:cs="Calibri"/>
          <w:sz w:val="22"/>
          <w:szCs w:val="22"/>
        </w:rPr>
        <w:t>Accredo can also provide continuing education programs for healthcare professionals, including nurses, nurse case managers, and pharmacists.</w:t>
      </w:r>
    </w:p>
    <w:p w14:paraId="6C47EB7C" w14:textId="77777777" w:rsidR="00D626D0" w:rsidRPr="00225DD0" w:rsidRDefault="00473876" w:rsidP="003D0655">
      <w:pPr>
        <w:pStyle w:val="H1"/>
        <w:spacing w:before="0" w:line="396" w:lineRule="auto"/>
        <w:rPr>
          <w:rFonts w:ascii="Calibri" w:hAnsi="Calibri" w:cs="Calibri"/>
          <w:sz w:val="22"/>
          <w:szCs w:val="22"/>
        </w:rPr>
      </w:pPr>
      <w:r w:rsidRPr="00225DD0">
        <w:rPr>
          <w:rFonts w:ascii="Calibri" w:hAnsi="Calibri" w:cs="Calibri"/>
          <w:sz w:val="22"/>
          <w:szCs w:val="22"/>
        </w:rPr>
        <w:t>Nursing Services</w:t>
      </w:r>
    </w:p>
    <w:p w14:paraId="1E21F0E1"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Accredo offers AHCCCS and your membership unmatched quality nursing care. Our nurses are available for patients via telephone 24 hours a day, seven days a week for select therapies. They are involved in providing high-touch consultative support to patients, including conducting an initial assessment when patients begin new prescription regimens with Accredo. The nurse and pharmacist then work together before the medication is dispensed to determine whether a home visit is necessary. Nurses also assess whether additional teaching is required and make the appropriate in-home visits to the patient for clinical monitoring and patient education. This high-level, personal involvement by Accredo’s nursing staff helps mitigate adverse events and side effects while improving compliance rates.</w:t>
      </w:r>
    </w:p>
    <w:p w14:paraId="1722B2E5"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Accredo employs a team of more than 550 field-based registered nurses who administer specialty drugs within a patient’s home, school, physician’s office, or alternative site of care and who train patients in self-administration. Accredo also maintains a network of more than 900 contracted home health agencies. These resources are aligned around our Therapeutic Resource Centers® and enable us to provide national coverage for infusion services.</w:t>
      </w:r>
    </w:p>
    <w:p w14:paraId="2935B5C9"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Our field-based nurses utilize a proprietary technology (mobile point of care) on iPads with the potential to collect up to 1,200 data points during each patient interaction, including documentation of clinical assessments, teaching opportunities, and care plan updates. Equipped with these state-of-the-art devices, our nurses monitor adherence to protocols, capture data on a real-time basis, and have the ability to share the information immediately with physicians electronically or through virtual consultation. This data may also be distributed to other key stakeholders, such as physicians and case managers, in order to improve the coordination of care for these patients.</w:t>
      </w:r>
    </w:p>
    <w:p w14:paraId="0C8BBB83"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Additionally, we offer physicians expert field nursing support. Our community-based nurses travel as much or as little as needed to ensure our patients are appropriately cared for. Furthermore, 63% of our field nurses have pediatric experience, allowing us to serve even the youngest and most delicate patients. In fact, we have a 95% success rate in first-attempt intravenous access for pediatric patients.</w:t>
      </w:r>
    </w:p>
    <w:p w14:paraId="67A53BBF"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lastRenderedPageBreak/>
        <w:t>We not only provide in-home support for our patients but we also staff a team of nurses dedicated to patients with the most complex conditions, like bleeding disorders, immune disorders, and pulmonary arterial hypertension. These nurses provide telephone support for patients 24 hours a day, seven days a week, 365 days a year. These nurses have tenure with Accredo ranging from three to 17 years and take more than 6,000 calls per month from patients who need help troubleshooting pumps or inhalation devices, have emergency orders, or need assistance mixing medication.</w:t>
      </w:r>
    </w:p>
    <w:p w14:paraId="48F20034" w14:textId="77777777" w:rsidR="00D626D0" w:rsidRPr="00225DD0" w:rsidRDefault="00473876" w:rsidP="003D0655">
      <w:pPr>
        <w:pStyle w:val="Q1"/>
        <w:ind w:firstLine="0"/>
        <w:rPr>
          <w:rFonts w:ascii="Calibri" w:hAnsi="Calibri" w:cs="Calibri"/>
          <w:sz w:val="22"/>
          <w:szCs w:val="22"/>
        </w:rPr>
      </w:pPr>
      <w:r w:rsidRPr="00225DD0">
        <w:rPr>
          <w:rFonts w:ascii="Calibri" w:hAnsi="Calibri" w:cs="Calibri"/>
          <w:sz w:val="22"/>
          <w:szCs w:val="22"/>
        </w:rPr>
        <w:t>5.2.1.4. Describe the Offeror’s customer service business and after-hours availability for member and process for responding to provider questions within Arizona time zones and the calendar days of operation.</w:t>
      </w:r>
    </w:p>
    <w:p w14:paraId="06FEA15D" w14:textId="77777777" w:rsidR="00D626D0" w:rsidRPr="00225DD0" w:rsidRDefault="00473876">
      <w:pPr>
        <w:pStyle w:val="P1"/>
        <w:spacing w:line="293" w:lineRule="auto"/>
        <w:rPr>
          <w:rFonts w:ascii="Calibri" w:hAnsi="Calibri" w:cs="Calibri"/>
          <w:sz w:val="22"/>
          <w:szCs w:val="22"/>
        </w:rPr>
      </w:pPr>
      <w:r w:rsidRPr="00225DD0">
        <w:rPr>
          <w:rFonts w:ascii="Calibri" w:hAnsi="Calibri" w:cs="Calibri"/>
          <w:sz w:val="22"/>
          <w:szCs w:val="22"/>
        </w:rPr>
        <w:t>Members have direct access to the Accredo Contact Center Monday through Friday, from 5 a.m. to 8 p.m., Mountain Time; and Saturdays, from 5 a.m. to 3 p.m., Mountain Time. Additionally, members can consult with a nurse for select therapies or an Accredo specialist pharmacist 24 hours</w:t>
      </w:r>
      <w:bookmarkStart w:id="0" w:name="P1"/>
      <w:r w:rsidRPr="00225DD0">
        <w:rPr>
          <w:rFonts w:ascii="Calibri" w:hAnsi="Calibri" w:cs="Calibri"/>
          <w:sz w:val="22"/>
          <w:szCs w:val="22"/>
        </w:rPr>
        <w:t> a day, seven days a week. Our staff has access to patient electronic charts and is well versed in specialty drugs and the conditions they treat.</w:t>
      </w:r>
      <w:bookmarkEnd w:id="0"/>
    </w:p>
    <w:p w14:paraId="7181116C" w14:textId="77777777" w:rsidR="00CE0177" w:rsidRPr="00225DD0" w:rsidRDefault="00473876">
      <w:pPr>
        <w:pStyle w:val="P1"/>
        <w:spacing w:after="120" w:line="260" w:lineRule="auto"/>
        <w:rPr>
          <w:rFonts w:ascii="Calibri" w:hAnsi="Calibri" w:cs="Calibri"/>
          <w:sz w:val="22"/>
          <w:szCs w:val="22"/>
        </w:rPr>
      </w:pPr>
      <w:r w:rsidRPr="00225DD0">
        <w:rPr>
          <w:rFonts w:ascii="Calibri" w:hAnsi="Calibri" w:cs="Calibri"/>
          <w:sz w:val="22"/>
          <w:szCs w:val="22"/>
        </w:rPr>
        <w:t>After-hours calls are routed to an answering service. Live agents manage these calls through our on-call customer service lead personnel and clinical staff, who are accessible 24 hours a day through a pager and auto-generated email system to assist with medical interventions and emergency refills. All non-emergency calls are logged. A specialty patient care advocate contacts each caller the following business day.</w:t>
      </w:r>
    </w:p>
    <w:p w14:paraId="7F86559D" w14:textId="77777777" w:rsidR="00D626D0" w:rsidRPr="00225DD0" w:rsidRDefault="00473876" w:rsidP="003D0655">
      <w:pPr>
        <w:pStyle w:val="Q1"/>
        <w:ind w:firstLine="0"/>
        <w:rPr>
          <w:rFonts w:ascii="Calibri" w:hAnsi="Calibri" w:cs="Calibri"/>
          <w:sz w:val="22"/>
          <w:szCs w:val="22"/>
        </w:rPr>
      </w:pPr>
      <w:r w:rsidRPr="00225DD0">
        <w:rPr>
          <w:rFonts w:ascii="Calibri" w:hAnsi="Calibri" w:cs="Calibri"/>
          <w:sz w:val="22"/>
          <w:szCs w:val="22"/>
        </w:rPr>
        <w:t>5.2.1.5. Describe the Offeror’s capability to provide Member and provider emergency access to appropriately trained, qualified, and licensed professional staff twenty- four (24) hours a day, seven (7) days a week, through a toll-free telephone number including information on how the Offeror ensures that its staff are culturally competent, and its customer services can be provided in other languages as appropriate for the population or as required.</w:t>
      </w:r>
    </w:p>
    <w:p w14:paraId="5F8F7220" w14:textId="77777777" w:rsidR="00D626D0" w:rsidRPr="00225DD0" w:rsidRDefault="00473876" w:rsidP="003D0655">
      <w:pPr>
        <w:pStyle w:val="P1"/>
        <w:spacing w:line="260" w:lineRule="auto"/>
        <w:rPr>
          <w:rFonts w:ascii="Calibri" w:hAnsi="Calibri" w:cs="Calibri"/>
          <w:sz w:val="22"/>
          <w:szCs w:val="22"/>
        </w:rPr>
      </w:pPr>
      <w:r w:rsidRPr="00225DD0">
        <w:rPr>
          <w:rFonts w:ascii="Calibri" w:hAnsi="Calibri" w:cs="Calibri"/>
          <w:sz w:val="22"/>
          <w:szCs w:val="22"/>
        </w:rPr>
        <w:t>After-hours calls are routed to Accredo’s National Clinical Service center staffed by nurses who are trained about bleeding disorders and have access to each patient’s electronic Accredo record. Each call is evaluated by the answering nurse and addressed as appropriate. When there is an urgent need for a pharmacist, call center staff contact them directly.  Translation services are available to members 24 hours a day, 365 days a year.</w:t>
      </w:r>
    </w:p>
    <w:p w14:paraId="1D1A2CD7" w14:textId="77777777" w:rsidR="00D626D0" w:rsidRPr="00225DD0" w:rsidRDefault="00473876">
      <w:pPr>
        <w:pStyle w:val="P1"/>
        <w:spacing w:line="276" w:lineRule="auto"/>
        <w:rPr>
          <w:rFonts w:ascii="Calibri" w:hAnsi="Calibri" w:cs="Calibri"/>
          <w:sz w:val="22"/>
          <w:szCs w:val="22"/>
        </w:rPr>
      </w:pPr>
      <w:r w:rsidRPr="00225DD0">
        <w:rPr>
          <w:rFonts w:ascii="Calibri" w:hAnsi="Calibri" w:cs="Calibri"/>
          <w:sz w:val="22"/>
          <w:szCs w:val="22"/>
        </w:rPr>
        <w:t>To assist those members who do not speak English, Accredo subscribes to the Language Line, which provides translation services for more than 200 foreign languages, including the major languages of Asia, Africa, Europe, and South America. These languages represent nearly 99% of all customer requests from the 6,809 languages spoken in the world today. Experienced professionals staffing this line have the skills necessary to understand and accurately interpret the nuances of both language and culture.</w:t>
      </w:r>
    </w:p>
    <w:p w14:paraId="1036E736" w14:textId="77777777" w:rsidR="00D626D0" w:rsidRPr="00225DD0" w:rsidRDefault="00473876" w:rsidP="003D0655">
      <w:pPr>
        <w:pStyle w:val="Q1"/>
        <w:ind w:firstLine="0"/>
        <w:rPr>
          <w:rFonts w:ascii="Calibri" w:hAnsi="Calibri" w:cs="Calibri"/>
          <w:sz w:val="22"/>
          <w:szCs w:val="22"/>
        </w:rPr>
      </w:pPr>
      <w:r w:rsidRPr="00225DD0">
        <w:rPr>
          <w:rFonts w:ascii="Calibri" w:hAnsi="Calibri" w:cs="Calibri"/>
          <w:sz w:val="22"/>
          <w:szCs w:val="22"/>
        </w:rPr>
        <w:t>5.2.1.6. Describe the Offeror’s proposed use of translation services.</w:t>
      </w:r>
    </w:p>
    <w:p w14:paraId="2550B173" w14:textId="77777777" w:rsidR="00D626D0" w:rsidRPr="00225DD0" w:rsidRDefault="00473876">
      <w:pPr>
        <w:pStyle w:val="P1"/>
        <w:spacing w:line="276" w:lineRule="auto"/>
        <w:rPr>
          <w:rFonts w:ascii="Calibri" w:hAnsi="Calibri" w:cs="Calibri"/>
          <w:sz w:val="22"/>
          <w:szCs w:val="22"/>
        </w:rPr>
      </w:pPr>
      <w:r w:rsidRPr="00225DD0">
        <w:rPr>
          <w:rFonts w:ascii="Calibri" w:hAnsi="Calibri" w:cs="Calibri"/>
          <w:sz w:val="22"/>
          <w:szCs w:val="22"/>
        </w:rPr>
        <w:t>Accredo subscribes to the Language Line, which provides translation services for more than 200 foreign languages, including the major languages of Asia, Africa, Europe, and South America. These languages represent approximately 98.6% of all customer requests from the 6,809 languages spoken in the world today. Experienced professionals staffing this line have the skills necessary to understand and accurately interpret the nuances of both language and culture.</w:t>
      </w:r>
    </w:p>
    <w:p w14:paraId="23B45069"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lastRenderedPageBreak/>
        <w:t xml:space="preserve">Accredo advocates set up three-way conference calls with members and Language Line representatives to address members’ requests. There is no additional fee to AHCCCS for this service. For a list of languages supported, see </w:t>
      </w:r>
      <w:r w:rsidRPr="00225DD0">
        <w:rPr>
          <w:rFonts w:ascii="Calibri" w:hAnsi="Calibri" w:cs="Calibri"/>
          <w:b/>
          <w:i/>
          <w:color w:val="F86C06"/>
          <w:sz w:val="22"/>
          <w:szCs w:val="22"/>
        </w:rPr>
        <w:t xml:space="preserve">Exhibit </w:t>
      </w:r>
      <w:r w:rsidR="004556BC" w:rsidRPr="00225DD0">
        <w:rPr>
          <w:rFonts w:ascii="Calibri" w:hAnsi="Calibri" w:cs="Calibri"/>
          <w:b/>
          <w:i/>
          <w:color w:val="F86C06"/>
          <w:sz w:val="22"/>
          <w:szCs w:val="22"/>
        </w:rPr>
        <w:t>1</w:t>
      </w:r>
      <w:r w:rsidRPr="00225DD0">
        <w:rPr>
          <w:rFonts w:ascii="Calibri" w:hAnsi="Calibri" w:cs="Calibri"/>
          <w:sz w:val="22"/>
          <w:szCs w:val="22"/>
        </w:rPr>
        <w:t>. In addition, Accredo employs a team of in-house bilingual representatives that specialize in providing service to Spanish-speaking members. These agents assist Spanish-speaking members in Spanish, removing the third party and creating a better member experience.</w:t>
      </w:r>
    </w:p>
    <w:p w14:paraId="577D987F" w14:textId="77777777" w:rsidR="00D626D0" w:rsidRPr="00225DD0" w:rsidRDefault="00473876" w:rsidP="003D0655">
      <w:pPr>
        <w:pStyle w:val="Q1"/>
        <w:ind w:firstLine="0"/>
        <w:rPr>
          <w:rFonts w:ascii="Calibri" w:hAnsi="Calibri" w:cs="Calibri"/>
          <w:sz w:val="22"/>
          <w:szCs w:val="22"/>
        </w:rPr>
      </w:pPr>
      <w:r w:rsidRPr="00225DD0">
        <w:rPr>
          <w:rFonts w:ascii="Calibri" w:hAnsi="Calibri" w:cs="Calibri"/>
          <w:sz w:val="22"/>
          <w:szCs w:val="22"/>
        </w:rPr>
        <w:t>5.2.1.7. Describe the Offeror’s delivery of services to ensure high quality, cost-effective care delivery, including, but not limited to:</w:t>
      </w:r>
    </w:p>
    <w:p w14:paraId="08501D80" w14:textId="77777777" w:rsidR="00D626D0" w:rsidRPr="00225DD0" w:rsidRDefault="00473876" w:rsidP="009E1DF6">
      <w:pPr>
        <w:pStyle w:val="Q2"/>
        <w:spacing w:before="240"/>
        <w:ind w:left="0" w:firstLine="0"/>
        <w:rPr>
          <w:rFonts w:ascii="Calibri" w:hAnsi="Calibri" w:cs="Calibri"/>
          <w:sz w:val="22"/>
          <w:szCs w:val="22"/>
        </w:rPr>
      </w:pPr>
      <w:r w:rsidRPr="00225DD0">
        <w:rPr>
          <w:rFonts w:ascii="Calibri" w:hAnsi="Calibri" w:cs="Calibri"/>
          <w:sz w:val="22"/>
          <w:szCs w:val="22"/>
        </w:rPr>
        <w:t>5.2.1.7.1. Workflow and quality assurance procedures in place for procurement, dispensing, and home/site delivery of appropriate quantities of anti- hemophilic/other blood disorder medications, related products and supplies;</w:t>
      </w:r>
    </w:p>
    <w:p w14:paraId="0488776B" w14:textId="77777777" w:rsidR="00D626D0" w:rsidRPr="00225DD0" w:rsidRDefault="00473876" w:rsidP="003D0655">
      <w:pPr>
        <w:spacing w:line="276" w:lineRule="auto"/>
        <w:rPr>
          <w:rFonts w:ascii="Calibri" w:hAnsi="Calibri" w:cs="Calibri"/>
          <w:sz w:val="22"/>
          <w:szCs w:val="22"/>
        </w:rPr>
      </w:pPr>
      <w:r w:rsidRPr="00225DD0">
        <w:rPr>
          <w:rFonts w:ascii="Calibri" w:hAnsi="Calibri" w:cs="Calibri"/>
          <w:sz w:val="22"/>
          <w:szCs w:val="22"/>
        </w:rPr>
        <w:t>Accredo is licensed as a pharmacy in all 47 jurisdictions requiring licensing and holds various local, state, and federal licenses and certifications, including business licenses and Drug Enforcement Administration (DEA) controlled substances certificates. Accredo provides pharmacy services in all 50 states. In addition, Accredo maintains Medicaid provider numbers in 49 states with the capability to provide Medicaid service to all 50 states.</w:t>
      </w:r>
    </w:p>
    <w:p w14:paraId="0259F507" w14:textId="77777777" w:rsidR="00D626D0" w:rsidRPr="00225DD0" w:rsidRDefault="00473876" w:rsidP="003D0655">
      <w:pPr>
        <w:spacing w:before="240" w:after="120" w:line="276" w:lineRule="auto"/>
        <w:rPr>
          <w:rFonts w:ascii="Calibri" w:hAnsi="Calibri" w:cs="Calibri"/>
          <w:sz w:val="22"/>
          <w:szCs w:val="22"/>
        </w:rPr>
      </w:pPr>
      <w:r w:rsidRPr="00225DD0">
        <w:rPr>
          <w:rFonts w:ascii="Calibri" w:hAnsi="Calibri" w:cs="Calibri"/>
          <w:sz w:val="22"/>
          <w:szCs w:val="22"/>
        </w:rPr>
        <w:t>We dispense factor primarily through our national distribution facilities located in Warrendale, Pennsylvania and Lenexa, Kansas and is supported by additional core service sites and a network of additional pharmacies across the country, serving all 50 states, the District of Columbia, Puerto Rico, and other U.S. territories. These pharmacies are made up of both national distribution hubs and locally based branch operations. AHCCCS’ factor will be shipped from our facility in Tempe, Arizona.</w:t>
      </w:r>
    </w:p>
    <w:p w14:paraId="5019C703" w14:textId="77777777" w:rsidR="00D626D0" w:rsidRPr="00225DD0" w:rsidRDefault="00473876" w:rsidP="003D0655">
      <w:pPr>
        <w:pStyle w:val="H1"/>
        <w:spacing w:before="240" w:line="396" w:lineRule="auto"/>
        <w:rPr>
          <w:rFonts w:ascii="Calibri" w:hAnsi="Calibri" w:cs="Calibri"/>
          <w:sz w:val="22"/>
          <w:szCs w:val="22"/>
        </w:rPr>
      </w:pPr>
      <w:r w:rsidRPr="00225DD0">
        <w:rPr>
          <w:rFonts w:ascii="Calibri" w:hAnsi="Calibri" w:cs="Calibri"/>
          <w:sz w:val="22"/>
          <w:szCs w:val="22"/>
        </w:rPr>
        <w:t>Procurement</w:t>
      </w:r>
    </w:p>
    <w:p w14:paraId="07F4A426" w14:textId="77777777" w:rsidR="00D626D0" w:rsidRPr="00225DD0" w:rsidRDefault="00473876" w:rsidP="003D0655">
      <w:pPr>
        <w:spacing w:before="240" w:after="120" w:line="276" w:lineRule="auto"/>
        <w:rPr>
          <w:rFonts w:ascii="Calibri" w:hAnsi="Calibri" w:cs="Calibri"/>
          <w:sz w:val="22"/>
          <w:szCs w:val="22"/>
        </w:rPr>
      </w:pPr>
      <w:r w:rsidRPr="00225DD0">
        <w:rPr>
          <w:rFonts w:ascii="Calibri" w:hAnsi="Calibri" w:cs="Calibri"/>
          <w:sz w:val="22"/>
          <w:szCs w:val="22"/>
        </w:rPr>
        <w:t>Our specialty pharmacy purchases medications directly from licensed wholesalers or from pharmaceutical manufacturers. We follow a strict credentialing process when selecting product vendors. At a minimum, potential vendors must meet regulatory approval (such as from the FDA, manufacturer approval, and financial and performance criteria. We do not purchase supplies or pharmaceuticals in the secondary market. We perform a product inspection upon receipt from manufacturers. Physical inventories are performed monthly, including a complete review of every product to ensure appropriate consistency and product freshness.</w:t>
      </w:r>
    </w:p>
    <w:p w14:paraId="4F49F90E" w14:textId="77777777" w:rsidR="00D626D0" w:rsidRPr="00225DD0" w:rsidRDefault="00473876" w:rsidP="003D0655">
      <w:pPr>
        <w:pStyle w:val="H1"/>
        <w:spacing w:before="240" w:line="396" w:lineRule="auto"/>
        <w:rPr>
          <w:rFonts w:ascii="Calibri" w:hAnsi="Calibri" w:cs="Calibri"/>
          <w:sz w:val="22"/>
          <w:szCs w:val="22"/>
        </w:rPr>
      </w:pPr>
      <w:r w:rsidRPr="00225DD0">
        <w:rPr>
          <w:rFonts w:ascii="Calibri" w:hAnsi="Calibri" w:cs="Calibri"/>
          <w:sz w:val="22"/>
          <w:szCs w:val="22"/>
        </w:rPr>
        <w:t>Packaging</w:t>
      </w:r>
    </w:p>
    <w:p w14:paraId="63E47137" w14:textId="77777777" w:rsidR="00D626D0" w:rsidRPr="00225DD0" w:rsidRDefault="00473876" w:rsidP="003D0655">
      <w:pPr>
        <w:spacing w:after="120" w:line="276" w:lineRule="auto"/>
        <w:rPr>
          <w:rFonts w:ascii="Calibri" w:hAnsi="Calibri" w:cs="Calibri"/>
          <w:sz w:val="22"/>
          <w:szCs w:val="22"/>
        </w:rPr>
      </w:pPr>
      <w:r w:rsidRPr="00225DD0">
        <w:rPr>
          <w:rFonts w:ascii="Calibri" w:hAnsi="Calibri" w:cs="Calibri"/>
          <w:sz w:val="22"/>
          <w:szCs w:val="22"/>
        </w:rPr>
        <w:t>Our specialty pharmacy dispenses products in their original packaging from drug manufacturers, guaranteeing quality, potency, sterility, and stability according to their good manufacturer practice. The drug manufacturer stamps the drug expiration date and lot number directly on the drug item for quality assurance measures. Our pharmacists verify that the expiration date and lot numbers are accurate before dispensing any medications.</w:t>
      </w:r>
    </w:p>
    <w:p w14:paraId="4DD830BC" w14:textId="77777777" w:rsidR="003D0655" w:rsidRPr="00225DD0" w:rsidRDefault="003D0655">
      <w:pPr>
        <w:spacing w:line="276" w:lineRule="auto"/>
        <w:rPr>
          <w:rFonts w:ascii="Calibri" w:hAnsi="Calibri" w:cs="Calibri"/>
          <w:color w:val="15A4A7" w:themeColor="accent1"/>
          <w:sz w:val="22"/>
          <w:szCs w:val="22"/>
        </w:rPr>
      </w:pPr>
      <w:r w:rsidRPr="00225DD0">
        <w:rPr>
          <w:rFonts w:ascii="Calibri" w:hAnsi="Calibri" w:cs="Calibri"/>
          <w:sz w:val="22"/>
          <w:szCs w:val="22"/>
        </w:rPr>
        <w:br w:type="page"/>
      </w:r>
    </w:p>
    <w:p w14:paraId="79D26965" w14:textId="77777777" w:rsidR="00D626D0" w:rsidRPr="00225DD0" w:rsidRDefault="00473876" w:rsidP="003D0655">
      <w:pPr>
        <w:pStyle w:val="H1"/>
        <w:spacing w:line="396" w:lineRule="auto"/>
        <w:rPr>
          <w:rFonts w:ascii="Calibri" w:hAnsi="Calibri" w:cs="Calibri"/>
          <w:sz w:val="22"/>
          <w:szCs w:val="22"/>
        </w:rPr>
      </w:pPr>
      <w:r w:rsidRPr="00225DD0">
        <w:rPr>
          <w:rFonts w:ascii="Calibri" w:hAnsi="Calibri" w:cs="Calibri"/>
          <w:sz w:val="22"/>
          <w:szCs w:val="22"/>
        </w:rPr>
        <w:lastRenderedPageBreak/>
        <w:t>Dispensing</w:t>
      </w:r>
    </w:p>
    <w:p w14:paraId="18224460" w14:textId="77777777" w:rsidR="00D626D0" w:rsidRPr="00225DD0" w:rsidRDefault="00473876" w:rsidP="003D0655">
      <w:pPr>
        <w:spacing w:after="120" w:line="276" w:lineRule="auto"/>
        <w:rPr>
          <w:rFonts w:ascii="Calibri" w:hAnsi="Calibri" w:cs="Calibri"/>
          <w:sz w:val="22"/>
          <w:szCs w:val="22"/>
        </w:rPr>
      </w:pPr>
      <w:r w:rsidRPr="00225DD0">
        <w:rPr>
          <w:rFonts w:ascii="Calibri" w:hAnsi="Calibri" w:cs="Calibri"/>
          <w:sz w:val="22"/>
          <w:szCs w:val="22"/>
        </w:rPr>
        <w:t>Our policies and procedures for dispensing factor product include the following:</w:t>
      </w:r>
    </w:p>
    <w:p w14:paraId="75A5D3F0"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proactively monitor patients’ drug and supply inventory to ensure adequate inventory is on hand without overstocking. Assessment of adequate patient inventory is based on physician orders and usage history.</w:t>
      </w:r>
    </w:p>
    <w:p w14:paraId="75C09FCF"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contact the patient before shipping to arrange for delivery.</w:t>
      </w:r>
    </w:p>
    <w:p w14:paraId="79BFD1B0"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compare the information provided to what was dispensed in the last shipment.</w:t>
      </w:r>
    </w:p>
    <w:p w14:paraId="4EDC5921"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counsel patients with discrepancies and perform clinical intervention as necessary. If clinical markers and time parameters are not being met for a particular patient, we consult with prescribers to modify the treatment regimen.</w:t>
      </w:r>
    </w:p>
    <w:p w14:paraId="76541B21"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note expiration dates to ensure that all inventory is up to date and educate patients to rotate inventory so product with the nearest expiration date is used first.</w:t>
      </w:r>
    </w:p>
    <w:p w14:paraId="13A1C085"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ask the patient how much inventory they have at home and how much factor they have used. If the patient has missed any doses, we ask whether the patient is on prophylactic infusions.</w:t>
      </w:r>
    </w:p>
    <w:p w14:paraId="3F6367C9"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keep sufficient levels of inventory on hand to meet the routine and emergent needs of our patients.</w:t>
      </w:r>
    </w:p>
    <w:p w14:paraId="63917012"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review drug trends based on best therapy practices with the goal of educating providers and patients about the latest published results of new therapy changes that may have a positive impact on patients.</w:t>
      </w:r>
    </w:p>
    <w:p w14:paraId="5D854B83" w14:textId="77777777" w:rsidR="00D626D0" w:rsidRPr="00225DD0" w:rsidRDefault="00473876" w:rsidP="003D0655">
      <w:pPr>
        <w:pStyle w:val="DB1"/>
        <w:numPr>
          <w:ilvl w:val="0"/>
          <w:numId w:val="33"/>
        </w:numPr>
        <w:spacing w:after="0" w:line="293" w:lineRule="auto"/>
        <w:rPr>
          <w:rFonts w:ascii="Calibri" w:hAnsi="Calibri" w:cs="Calibri"/>
          <w:sz w:val="22"/>
          <w:szCs w:val="22"/>
        </w:rPr>
      </w:pPr>
      <w:r w:rsidRPr="00225DD0">
        <w:rPr>
          <w:rFonts w:ascii="Calibri" w:hAnsi="Calibri" w:cs="Calibri"/>
          <w:sz w:val="22"/>
          <w:szCs w:val="22"/>
        </w:rPr>
        <w:t>We meet or exceed the National Hemophilia Foundation’s Medical and Scientific Advisory Council (MASAC) #188 recommendations regarding standards of service for pharmacy providers of clotting factor concentrates for home use by patients with bleeding disorders.</w:t>
      </w:r>
    </w:p>
    <w:p w14:paraId="5DAECCC9" w14:textId="77777777" w:rsidR="00D626D0" w:rsidRPr="00225DD0" w:rsidRDefault="00473876" w:rsidP="003D0655">
      <w:pPr>
        <w:spacing w:after="120" w:line="276" w:lineRule="auto"/>
        <w:rPr>
          <w:rFonts w:ascii="Calibri" w:hAnsi="Calibri" w:cs="Calibri"/>
          <w:sz w:val="22"/>
          <w:szCs w:val="22"/>
        </w:rPr>
      </w:pPr>
      <w:r w:rsidRPr="00225DD0">
        <w:rPr>
          <w:rFonts w:ascii="Calibri" w:hAnsi="Calibri" w:cs="Calibri"/>
          <w:sz w:val="22"/>
          <w:szCs w:val="22"/>
        </w:rPr>
        <w:t>Accredo proactively contacts each patient 7 to 10 days prior to the expected exhaust date of factor, but in the event, factor products are life-saving medications in the event of a bleeding event, we instruct each patient to contact the pharmacy prior to exhausting the current inventory. We arrange overnight delivery of refrigerated medications and other urgent situations. We also use couriers or local pharmacies for same-day delivery in the instance of service recovery issues, such as natural disasters.</w:t>
      </w:r>
    </w:p>
    <w:p w14:paraId="15F31FF3" w14:textId="77777777" w:rsidR="00D626D0" w:rsidRPr="00225DD0" w:rsidRDefault="00473876" w:rsidP="003D0655">
      <w:pPr>
        <w:pStyle w:val="Q2"/>
        <w:ind w:left="0" w:firstLine="0"/>
        <w:rPr>
          <w:rFonts w:ascii="Calibri" w:hAnsi="Calibri" w:cs="Calibri"/>
          <w:sz w:val="22"/>
          <w:szCs w:val="22"/>
        </w:rPr>
      </w:pPr>
      <w:r w:rsidRPr="00225DD0">
        <w:rPr>
          <w:rFonts w:ascii="Calibri" w:hAnsi="Calibri" w:cs="Calibri"/>
          <w:sz w:val="22"/>
          <w:szCs w:val="22"/>
        </w:rPr>
        <w:t>5.2.1.7.2. Documentation of response time from the receipt of the order to the shipment of medications and supplies to receipt by member;</w:t>
      </w:r>
    </w:p>
    <w:p w14:paraId="2B1D7A75" w14:textId="77777777" w:rsidR="00D626D0" w:rsidRPr="00225DD0" w:rsidRDefault="00473876" w:rsidP="003D0655">
      <w:pPr>
        <w:pStyle w:val="P1"/>
        <w:spacing w:line="260" w:lineRule="auto"/>
        <w:rPr>
          <w:rFonts w:ascii="Calibri" w:hAnsi="Calibri" w:cs="Calibri"/>
          <w:sz w:val="22"/>
          <w:szCs w:val="22"/>
        </w:rPr>
      </w:pPr>
      <w:r w:rsidRPr="00225DD0">
        <w:rPr>
          <w:rFonts w:ascii="Calibri" w:hAnsi="Calibri" w:cs="Calibri"/>
          <w:sz w:val="22"/>
          <w:szCs w:val="22"/>
        </w:rPr>
        <w:t>While turnaround time varies depending upon the situation, Accredo assesses the need-by date with every new prescription and refill order.  Turnaround time for new prescriptions often depends upon the prior authorization in place and the time it takes for the prescriber to complete the prior authorization.  The Accredo Bleeding Disorders Care Team works collaboratively to align customer service, insurance clearance and pharmacy operations in a concerted effort to get the prescription out the door by the need-by date.  Many times patients with bleeding disorders need factor on a specific date due to clinical needs (like a current bleed), date of a planned procedure or timing of factor infusions to assess pharmacokinetic laboratory values via blood draws in the clinic setting.</w:t>
      </w:r>
    </w:p>
    <w:p w14:paraId="24EF916E" w14:textId="77777777" w:rsidR="00D626D0" w:rsidRPr="00225DD0" w:rsidRDefault="00473876" w:rsidP="003D0655">
      <w:pPr>
        <w:pStyle w:val="P1"/>
        <w:spacing w:after="120" w:line="260" w:lineRule="auto"/>
        <w:rPr>
          <w:rFonts w:ascii="Calibri" w:hAnsi="Calibri" w:cs="Calibri"/>
          <w:sz w:val="22"/>
          <w:szCs w:val="22"/>
        </w:rPr>
      </w:pPr>
      <w:r w:rsidRPr="00225DD0">
        <w:rPr>
          <w:rFonts w:ascii="Calibri" w:hAnsi="Calibri" w:cs="Calibri"/>
          <w:sz w:val="22"/>
          <w:szCs w:val="22"/>
        </w:rPr>
        <w:t>Accredo tracks prescriptions and necessary supplies using defined steps within the process with dates and times from when the prescription is received to when the prescription ships to the patient. Accredo is also able to track individual shipments throughout the 3rd party vendor shipping process, whether by UPS, FedEx, or other local courier options (as applicable to the individual patient need for a particular shipment).</w:t>
      </w:r>
    </w:p>
    <w:p w14:paraId="15AAE1E9" w14:textId="77777777" w:rsidR="00D626D0" w:rsidRPr="00225DD0" w:rsidRDefault="00473876" w:rsidP="003D0655">
      <w:pPr>
        <w:pStyle w:val="Q2"/>
        <w:ind w:left="0" w:firstLine="0"/>
        <w:rPr>
          <w:rFonts w:ascii="Calibri" w:hAnsi="Calibri" w:cs="Calibri"/>
          <w:sz w:val="22"/>
          <w:szCs w:val="22"/>
        </w:rPr>
      </w:pPr>
      <w:r w:rsidRPr="00225DD0">
        <w:rPr>
          <w:rFonts w:ascii="Calibri" w:hAnsi="Calibri" w:cs="Calibri"/>
          <w:sz w:val="22"/>
          <w:szCs w:val="22"/>
        </w:rPr>
        <w:lastRenderedPageBreak/>
        <w:t>5.2.1.7.3. Packaging, shipping, and delivery procedures to assure safe and timely delivery according to manufacturer guidelines in Arizona’s climate extremes;</w:t>
      </w:r>
    </w:p>
    <w:p w14:paraId="57A95CEB" w14:textId="77777777" w:rsidR="00D626D0" w:rsidRPr="00225DD0" w:rsidRDefault="00473876" w:rsidP="003D0655">
      <w:pPr>
        <w:pStyle w:val="P1"/>
        <w:spacing w:line="276" w:lineRule="auto"/>
        <w:rPr>
          <w:rFonts w:ascii="Calibri" w:hAnsi="Calibri" w:cs="Calibri"/>
          <w:sz w:val="22"/>
          <w:szCs w:val="22"/>
        </w:rPr>
      </w:pPr>
      <w:r w:rsidRPr="00225DD0">
        <w:rPr>
          <w:rFonts w:ascii="Calibri" w:hAnsi="Calibri" w:cs="Calibri"/>
          <w:sz w:val="22"/>
          <w:szCs w:val="22"/>
        </w:rPr>
        <w:t>For products that require temperature control throughout the shipping process such as factor, we maintain a robust set of well-tested, temperature-control packaging and shipping specifications. Each medication is categorized based on scientific literature, manufacturer recommendations, and product labeling. Various materials and shipping methods are used for temperature-sensitive medications depending on the specific drug’s requirement. In most instances, drugs are packaged in sealed Styrofoam coolers specifically designed to maintain controlled, refrigerated temperature ranges, with various combinations of frozen, refrigerated, or room temperature ice packs as appropriate for the product shipped. The container is then packed with additional filler insulation as needed to ensure the drug’s stability during shipping.</w:t>
      </w:r>
    </w:p>
    <w:p w14:paraId="175E82D5"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Orders are shipped using next-day delivery, taking into consideration the travel time and delivery date of the medication, as well as the forecasted temperatures at both our pharmacy and at the delivery address. Large shipments or product shipments between our facilities are shipped using FedEx Custom Critical service, which provides service using refrigerated trucks and satellite-monitored temperature control.</w:t>
      </w:r>
    </w:p>
    <w:p w14:paraId="1FCDE898"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Due to the high cost and special handling requirements of the majority of drugs dispensed through our specialty pharmacy, we place an outbound call to the patient to schedule the delivery of all drug orders prior to releasing them for shipment to ensure appropriate address date of delivery. During this call, we discuss shipment methods and proper storage and handling for the specific medication ordered.</w:t>
      </w:r>
    </w:p>
    <w:p w14:paraId="3960C013"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All of our specialty pharmacy’s refrigerated products have an auxiliary label stating the need for continued refrigeration upon receipt. In addition, if the medication is dispensed in the manufacturer’s original package, information on temperature extremes may be included.</w:t>
      </w:r>
    </w:p>
    <w:p w14:paraId="4FB55CDD"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Delivery dates and times are communicated prior to shipping the medication. However, there are situations when a delivery is attempted, the patient and/or caregiver is not available, has moved or is actually homeless. We have implemented a solution, which has almost completely resolved this issue. We have contracted with an outside courier service – Dawson. Dawson operates over 900 facilities around the US. When we have a delivery issue, Dawson is notified of the problem. They then obtain the package from the overnight courier and preserve cold storage of the product. They then coordinate (though our pharmacy or direct to patient via cell phone) as to a new address and time to complete the delivery</w:t>
      </w:r>
    </w:p>
    <w:p w14:paraId="7BB85A75"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We measure our success by tracking the non-deliverable packages, which are returned to us by either the original courier or Dawson. We have been able to achieve 99.5% delivery success since adoption of this process.</w:t>
      </w:r>
    </w:p>
    <w:p w14:paraId="6A7321FA" w14:textId="77777777" w:rsidR="00D626D0" w:rsidRPr="00225DD0" w:rsidRDefault="00473876" w:rsidP="003D0655">
      <w:pPr>
        <w:pStyle w:val="Q2"/>
        <w:ind w:left="0" w:firstLine="0"/>
        <w:rPr>
          <w:rFonts w:ascii="Calibri" w:hAnsi="Calibri" w:cs="Calibri"/>
          <w:sz w:val="22"/>
          <w:szCs w:val="22"/>
        </w:rPr>
      </w:pPr>
      <w:r w:rsidRPr="00225DD0">
        <w:rPr>
          <w:rFonts w:ascii="Calibri" w:hAnsi="Calibri" w:cs="Calibri"/>
          <w:sz w:val="22"/>
          <w:szCs w:val="22"/>
        </w:rPr>
        <w:t>5.2.1.7.4. Inventory management of daily demand for anti-hemophilic medications including protocols on the management of short-dated pharmaceuticals (the expiration date is less than 90 days from the current date of dispensing) and maintenance of inventory levels to ensure fulfillment of initial and refill orders;</w:t>
      </w:r>
    </w:p>
    <w:p w14:paraId="5DEB6E2D" w14:textId="77777777" w:rsidR="00D626D0" w:rsidRPr="00225DD0" w:rsidRDefault="00473876" w:rsidP="003D0655">
      <w:pPr>
        <w:pStyle w:val="P1"/>
        <w:spacing w:line="276" w:lineRule="auto"/>
        <w:rPr>
          <w:rFonts w:ascii="Calibri" w:hAnsi="Calibri" w:cs="Calibri"/>
          <w:sz w:val="22"/>
          <w:szCs w:val="22"/>
        </w:rPr>
      </w:pPr>
      <w:r w:rsidRPr="00225DD0">
        <w:rPr>
          <w:rFonts w:ascii="Calibri" w:hAnsi="Calibri" w:cs="Calibri"/>
          <w:sz w:val="22"/>
          <w:szCs w:val="22"/>
        </w:rPr>
        <w:t>Our pharmacy uses a first expired/first out process. Our pharmacy operations are designed to manage the unique handling requirements of anti-hemophilic medications, including adequate storage facilities with a capacity to fill thousands of prescriptions per day. Because of the high turnover of these products, we can stock large quantities while avoiding medication expiration.</w:t>
      </w:r>
    </w:p>
    <w:p w14:paraId="2BEEA5F1"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lastRenderedPageBreak/>
        <w:t>We also abide by all federal and state laws pertaining to controlled substances. At our dispensing pharmacies, we store scheduled drugs in a self-locking cabinet or safe.</w:t>
      </w:r>
    </w:p>
    <w:p w14:paraId="7D60D01C"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Short-dated product is not dispensed to any patient who has a prescription for episodic therapy because it is only used in the event that a bleeding event occurs. Prior to dispense for a patient who is receiving prophylaxis therapy, the patient/caregiver is counseled about the expiration date.</w:t>
      </w:r>
    </w:p>
    <w:p w14:paraId="061CBFE8" w14:textId="77777777" w:rsidR="00D626D0" w:rsidRPr="00225DD0" w:rsidRDefault="00473876">
      <w:pPr>
        <w:pStyle w:val="Q2"/>
        <w:rPr>
          <w:rFonts w:ascii="Calibri" w:hAnsi="Calibri" w:cs="Calibri"/>
          <w:sz w:val="22"/>
          <w:szCs w:val="22"/>
        </w:rPr>
      </w:pPr>
      <w:r w:rsidRPr="00225DD0">
        <w:rPr>
          <w:rFonts w:ascii="Calibri" w:hAnsi="Calibri" w:cs="Calibri"/>
          <w:sz w:val="22"/>
          <w:szCs w:val="22"/>
        </w:rPr>
        <w:t>5.2.1.7.5. Established procedures and responses to product shortages for any reason;</w:t>
      </w:r>
    </w:p>
    <w:p w14:paraId="17FAD2F8" w14:textId="77777777" w:rsidR="00D626D0" w:rsidRPr="00225DD0" w:rsidRDefault="00473876" w:rsidP="003D0655">
      <w:pPr>
        <w:pStyle w:val="P1"/>
        <w:spacing w:line="276" w:lineRule="auto"/>
        <w:rPr>
          <w:rFonts w:ascii="Calibri" w:hAnsi="Calibri" w:cs="Calibri"/>
          <w:sz w:val="22"/>
          <w:szCs w:val="22"/>
        </w:rPr>
      </w:pPr>
      <w:r w:rsidRPr="00225DD0">
        <w:rPr>
          <w:rFonts w:ascii="Calibri" w:hAnsi="Calibri" w:cs="Calibri"/>
          <w:sz w:val="22"/>
          <w:szCs w:val="22"/>
        </w:rPr>
        <w:t>As one of the nation’s largest purchasers of clotting factor, we currently distribute all FDA-approved products from all clotting factor manufacturers in the United States. In the unlikely event that we do not have the prescribed factor product in stock, we contact the manufacturer to purchase the product in the prescribed strength and fill the prescription as ordered. We then maintain the product as part of our standard inventory to ensure availability.</w:t>
      </w:r>
    </w:p>
    <w:p w14:paraId="0C7C239A"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If the product cannot be filled or purchased via the manufacturer or wholesaler, the hemophilia pharmacist proactively collaborates with the prescriber to develop a new plan of care for the patient. The prescriber issues a new prescription for the appropriate product that meets the patient’s needs. The hemophilia pharmacist or nurse provides any necessary counseling and training for the patient to support product variations or differences, such as the reconstitution process and supply variances.</w:t>
      </w:r>
    </w:p>
    <w:p w14:paraId="116E8491" w14:textId="77777777" w:rsidR="00D626D0" w:rsidRPr="00225DD0" w:rsidRDefault="00473876" w:rsidP="003D0655">
      <w:pPr>
        <w:pStyle w:val="Q2"/>
        <w:ind w:left="0" w:firstLine="0"/>
        <w:rPr>
          <w:rFonts w:ascii="Calibri" w:hAnsi="Calibri" w:cs="Calibri"/>
          <w:sz w:val="22"/>
          <w:szCs w:val="22"/>
        </w:rPr>
      </w:pPr>
      <w:r w:rsidRPr="00225DD0">
        <w:rPr>
          <w:rFonts w:ascii="Calibri" w:hAnsi="Calibri" w:cs="Calibri"/>
          <w:sz w:val="22"/>
          <w:szCs w:val="22"/>
        </w:rPr>
        <w:t>5.2.1.7.6. Procedures for monitoring and AHCCCS quarterly reporting of the appropriate selection of factor assay versus prescribed amounts within established maximum variances approved by AHCCCS;</w:t>
      </w:r>
    </w:p>
    <w:p w14:paraId="57E07C4D" w14:textId="77777777" w:rsidR="00D626D0" w:rsidRPr="00225DD0" w:rsidRDefault="00473876" w:rsidP="003D0655">
      <w:pPr>
        <w:pStyle w:val="P1"/>
        <w:spacing w:line="276" w:lineRule="auto"/>
        <w:rPr>
          <w:rFonts w:ascii="Calibri" w:hAnsi="Calibri" w:cs="Calibri"/>
          <w:sz w:val="22"/>
          <w:szCs w:val="22"/>
        </w:rPr>
      </w:pPr>
      <w:r w:rsidRPr="00225DD0">
        <w:rPr>
          <w:rFonts w:ascii="Calibri" w:hAnsi="Calibri" w:cs="Calibri"/>
          <w:sz w:val="22"/>
          <w:szCs w:val="22"/>
        </w:rPr>
        <w:t>Accredo carries one of the largest inventories of factor proteins to treat both Hemophilia A and Hemophilia B. This robust inventory gives Accredo varieties of assays to match closes to the member's weight-based dosing and avoidance of paying for factor that is not clinically necessary. We propose a 2% variance to help drive additional savings to AHCCCCS while providing your members the treatment they need. The variance will be calculated from the target dose of the original prescription. Guarantee excludes NovoSeven RT®, RiaSTAP®, Tretten, Hemlibra, and Corifact™, as well as instances where manufacturer’s factor assay availability prohibits the target assay matching.</w:t>
      </w:r>
    </w:p>
    <w:p w14:paraId="5A0D76B4" w14:textId="77777777" w:rsidR="00D626D0" w:rsidRPr="00225DD0" w:rsidRDefault="00473876" w:rsidP="003D0655">
      <w:pPr>
        <w:pStyle w:val="P1"/>
        <w:spacing w:after="120" w:line="276" w:lineRule="auto"/>
        <w:rPr>
          <w:rFonts w:ascii="Calibri" w:hAnsi="Calibri" w:cs="Calibri"/>
          <w:sz w:val="22"/>
          <w:szCs w:val="22"/>
        </w:rPr>
      </w:pPr>
      <w:r w:rsidRPr="00225DD0">
        <w:rPr>
          <w:rFonts w:ascii="Calibri" w:hAnsi="Calibri" w:cs="Calibri"/>
          <w:sz w:val="22"/>
          <w:szCs w:val="22"/>
        </w:rPr>
        <w:t xml:space="preserve">We will provide reporting on a quarterly basis in AHCCCS​' requested format. Please see </w:t>
      </w:r>
      <w:r w:rsidRPr="00225DD0">
        <w:rPr>
          <w:rFonts w:ascii="Calibri" w:hAnsi="Calibri" w:cs="Calibri"/>
          <w:b/>
          <w:i/>
          <w:color w:val="F86C06"/>
          <w:sz w:val="22"/>
          <w:szCs w:val="22"/>
        </w:rPr>
        <w:t>Exhibit 2</w:t>
      </w:r>
      <w:r w:rsidRPr="00225DD0">
        <w:rPr>
          <w:rFonts w:ascii="Calibri" w:hAnsi="Calibri" w:cs="Calibri"/>
          <w:sz w:val="22"/>
          <w:szCs w:val="22"/>
        </w:rPr>
        <w:t xml:space="preserve"> for an example report.</w:t>
      </w:r>
    </w:p>
    <w:p w14:paraId="518FC456" w14:textId="77777777" w:rsidR="00D626D0" w:rsidRPr="00225DD0" w:rsidRDefault="00473876" w:rsidP="003D0655">
      <w:pPr>
        <w:pStyle w:val="Q2"/>
        <w:ind w:left="0" w:firstLine="0"/>
        <w:rPr>
          <w:rFonts w:ascii="Calibri" w:hAnsi="Calibri" w:cs="Calibri"/>
          <w:sz w:val="22"/>
          <w:szCs w:val="22"/>
        </w:rPr>
      </w:pPr>
      <w:r w:rsidRPr="00225DD0">
        <w:rPr>
          <w:rFonts w:ascii="Calibri" w:hAnsi="Calibri" w:cs="Calibri"/>
          <w:sz w:val="22"/>
          <w:szCs w:val="22"/>
        </w:rPr>
        <w:t>5.2.1.7.7. Management of member’s anti-hemophilic and blood disorder medications and supplies to minimize unnecessary stockpiling;</w:t>
      </w:r>
    </w:p>
    <w:p w14:paraId="136BF521" w14:textId="77777777" w:rsidR="003D0655" w:rsidRPr="00225DD0" w:rsidRDefault="00473876" w:rsidP="003D0655">
      <w:pPr>
        <w:pStyle w:val="P1"/>
        <w:spacing w:line="276" w:lineRule="auto"/>
        <w:rPr>
          <w:rFonts w:ascii="Calibri" w:hAnsi="Calibri" w:cs="Calibri"/>
          <w:sz w:val="22"/>
          <w:szCs w:val="22"/>
        </w:rPr>
      </w:pPr>
      <w:r w:rsidRPr="00225DD0">
        <w:rPr>
          <w:rFonts w:ascii="Calibri" w:hAnsi="Calibri" w:cs="Calibri"/>
          <w:sz w:val="22"/>
          <w:szCs w:val="22"/>
        </w:rPr>
        <w:t xml:space="preserve">Our management of specialty medications, including those dispensed for the treatment of blood disorders, includes programs to help guard against inappropriate and wasteful use of these products. Our care teams monitor member adherence to prescribed drug regimens through direct communication and careful ongoing evaluation of each member’s response to therapy. To minimize medication stockpiling, we do not automatically ship specialty medications. Each time a member requests a refill order, an Accredo representative contacts the member and establishes the number of doses remaining to help manage the member’s inventory. If a member has more doses than appropriate, we work with the member to determine the root cause for having extra doses on hand. </w:t>
      </w:r>
    </w:p>
    <w:p w14:paraId="2FA7BD52" w14:textId="77777777" w:rsidR="00D626D0" w:rsidRPr="00225DD0" w:rsidRDefault="003D0655" w:rsidP="003D0655">
      <w:pPr>
        <w:spacing w:line="276" w:lineRule="auto"/>
        <w:rPr>
          <w:rFonts w:ascii="Calibri" w:hAnsi="Calibri" w:cs="Calibri"/>
          <w:sz w:val="22"/>
          <w:szCs w:val="22"/>
        </w:rPr>
      </w:pPr>
      <w:r w:rsidRPr="00225DD0">
        <w:rPr>
          <w:rFonts w:ascii="Calibri" w:hAnsi="Calibri" w:cs="Calibri"/>
          <w:sz w:val="22"/>
          <w:szCs w:val="22"/>
        </w:rPr>
        <w:br w:type="page"/>
      </w:r>
      <w:r w:rsidR="00473876" w:rsidRPr="00225DD0">
        <w:rPr>
          <w:rFonts w:ascii="Calibri" w:hAnsi="Calibri" w:cs="Calibri"/>
          <w:sz w:val="22"/>
          <w:szCs w:val="22"/>
        </w:rPr>
        <w:lastRenderedPageBreak/>
        <w:t>We manage potential medication waste by teaching members — through telephone conversations and written communication — to rotate inventory so the most current expiration dates are used first. Accredo monitors inventory and counsels against stockpiling since there have been very limited shortage of factor products in the last 20 years.</w:t>
      </w:r>
    </w:p>
    <w:p w14:paraId="5116AD75" w14:textId="77777777" w:rsidR="00D626D0" w:rsidRPr="00225DD0" w:rsidRDefault="00473876" w:rsidP="003D0655">
      <w:pPr>
        <w:pStyle w:val="H1"/>
        <w:rPr>
          <w:rFonts w:ascii="Calibri" w:hAnsi="Calibri" w:cs="Calibri"/>
          <w:sz w:val="22"/>
          <w:szCs w:val="22"/>
        </w:rPr>
      </w:pPr>
      <w:r w:rsidRPr="00225DD0">
        <w:rPr>
          <w:rFonts w:ascii="Calibri" w:hAnsi="Calibri" w:cs="Calibri"/>
          <w:sz w:val="22"/>
          <w:szCs w:val="22"/>
        </w:rPr>
        <w:t>Regimen Optimization Programs in Hemophilia</w:t>
      </w:r>
    </w:p>
    <w:p w14:paraId="6E0943F5" w14:textId="77777777" w:rsidR="00D626D0" w:rsidRPr="00225DD0" w:rsidRDefault="00473876" w:rsidP="003D0655">
      <w:pPr>
        <w:pStyle w:val="H3"/>
        <w:spacing w:after="0"/>
        <w:rPr>
          <w:rFonts w:ascii="Calibri" w:hAnsi="Calibri" w:cs="Calibri"/>
          <w:sz w:val="22"/>
          <w:szCs w:val="22"/>
        </w:rPr>
      </w:pPr>
      <w:r w:rsidRPr="00225DD0">
        <w:rPr>
          <w:rFonts w:ascii="Calibri" w:hAnsi="Calibri" w:cs="Calibri"/>
          <w:i/>
          <w:sz w:val="22"/>
          <w:szCs w:val="22"/>
        </w:rPr>
        <w:t>Clotting Factor Concentrate (CFC)</w:t>
      </w:r>
    </w:p>
    <w:p w14:paraId="748101C4" w14:textId="77777777" w:rsidR="00D626D0" w:rsidRPr="00225DD0" w:rsidRDefault="00473876" w:rsidP="003D0655">
      <w:pPr>
        <w:pStyle w:val="P1"/>
        <w:rPr>
          <w:rFonts w:ascii="Calibri" w:hAnsi="Calibri" w:cs="Calibri"/>
          <w:sz w:val="22"/>
          <w:szCs w:val="22"/>
        </w:rPr>
      </w:pPr>
      <w:r w:rsidRPr="00225DD0">
        <w:rPr>
          <w:rFonts w:ascii="Calibri" w:hAnsi="Calibri" w:cs="Calibri"/>
          <w:sz w:val="22"/>
          <w:szCs w:val="22"/>
        </w:rPr>
        <w:t>Clinicians within Accredo’s Blood Disorders Therapeutic Resource Center completed a study to compare the differences in units consumed when individuals with hemophilia A or B transitioned from a Standard Half-Life (SHL) CFC to Extended Half-Life (EHL</w:t>
      </w:r>
      <w:r w:rsidR="00FC443C" w:rsidRPr="00225DD0">
        <w:rPr>
          <w:rFonts w:ascii="Calibri" w:hAnsi="Calibri" w:cs="Calibri"/>
          <w:sz w:val="22"/>
          <w:szCs w:val="22"/>
        </w:rPr>
        <w:t>) CFC</w:t>
      </w:r>
      <w:r w:rsidRPr="00225DD0">
        <w:rPr>
          <w:rFonts w:ascii="Calibri" w:hAnsi="Calibri" w:cs="Calibri"/>
          <w:sz w:val="22"/>
          <w:szCs w:val="22"/>
        </w:rPr>
        <w:t>. This study found that individuals with hemophilia A consumed more units (per annum) of EHL CFC VIII when compared to SHL CFC VIII [369,140 IU EHL vs. 287,540 IU SHL]. The associated cost was 68% higher when utilizing EHL CFC, driven by both increased utilization and a higher per IU cost tied to the EHL VIII product. In contrast, individuals with hemophilia B consumed fewer units (per annum) of EHL CFC IX when compared to SHL CFC IX [240,322 IU EHL vs. 302,173 IU SHL]. Despite the decrease in utilization, the associated cost remained higher, at 93%, driven by the significantly higher per IU cost tied to the EHL IX product.</w:t>
      </w:r>
    </w:p>
    <w:p w14:paraId="142DAE79" w14:textId="77777777" w:rsidR="00D626D0" w:rsidRPr="00225DD0" w:rsidRDefault="00473876" w:rsidP="003D0655">
      <w:pPr>
        <w:pStyle w:val="P1"/>
        <w:spacing w:after="120"/>
        <w:rPr>
          <w:rFonts w:ascii="Calibri" w:hAnsi="Calibri" w:cs="Calibri"/>
          <w:sz w:val="22"/>
          <w:szCs w:val="22"/>
        </w:rPr>
      </w:pPr>
      <w:r w:rsidRPr="00225DD0">
        <w:rPr>
          <w:rFonts w:ascii="Calibri" w:hAnsi="Calibri" w:cs="Calibri"/>
          <w:sz w:val="22"/>
          <w:szCs w:val="22"/>
        </w:rPr>
        <w:t>As a direct result of this research, Accredo developed a formal Regimen Optimization Program designed to evaluate the dose and frequency of CFC when used as prophylaxis to assure that the overall regimen aligns with the product labeling, and most recent peer reviewed literature/society guidelines, including those published by the World Federation of Hemophilia and MASAC. For a regimen that does not conform, the Accredo pharmacist will engage the prescriber in a peer-to-peer discussion designed to optimize the regimen as indicated based on significant patient level findings such as bleed pattern/history, physical activity, or presence of target joints or inhibitors. All new and renewal prescriptions for patients age 12 and up for CFC prophylaxis are evaluated per this program.</w:t>
      </w:r>
    </w:p>
    <w:p w14:paraId="378B0B95" w14:textId="77777777" w:rsidR="00D626D0" w:rsidRPr="00225DD0" w:rsidRDefault="00473876" w:rsidP="003D0655">
      <w:pPr>
        <w:pStyle w:val="P1"/>
        <w:spacing w:after="120"/>
        <w:rPr>
          <w:rFonts w:ascii="Calibri" w:hAnsi="Calibri" w:cs="Calibri"/>
          <w:sz w:val="22"/>
          <w:szCs w:val="22"/>
        </w:rPr>
      </w:pPr>
      <w:r w:rsidRPr="00225DD0">
        <w:rPr>
          <w:rFonts w:ascii="Calibri" w:hAnsi="Calibri" w:cs="Calibri"/>
          <w:sz w:val="22"/>
          <w:szCs w:val="22"/>
        </w:rPr>
        <w:t>A recent example: A 27-year-old, 71.2kg male with hemophilia B was prescribed EHL factor IX at a dose of 5000 units every Monday and 6000 units every Friday for prophylaxis. The patient was transitioning from an established SHL regimen of the same dose and frequency. This regimen was identified per the Regimen Optimization Program as potentially supratherapeutic. The Accredo pharmacist engaged the prescriber to recommend a regimen change – to 5000 units once weekly with the EHL product – which was accepted. This intervention reduced the treatment burden to the patient and reduced overall factor IX utilization by 6000 units a week. At an AWP cost of $4.01 per unit, the annual savings is projected at $1,251,120 for this single intervention.</w:t>
      </w:r>
    </w:p>
    <w:p w14:paraId="6C4832BC" w14:textId="77777777" w:rsidR="00D626D0" w:rsidRPr="00225DD0" w:rsidRDefault="00473876" w:rsidP="003D0655">
      <w:pPr>
        <w:pStyle w:val="H3"/>
        <w:spacing w:after="0"/>
        <w:rPr>
          <w:rFonts w:ascii="Calibri" w:hAnsi="Calibri" w:cs="Calibri"/>
          <w:sz w:val="22"/>
          <w:szCs w:val="22"/>
        </w:rPr>
      </w:pPr>
      <w:r w:rsidRPr="00225DD0">
        <w:rPr>
          <w:rFonts w:ascii="Calibri" w:hAnsi="Calibri" w:cs="Calibri"/>
          <w:i/>
          <w:sz w:val="22"/>
          <w:szCs w:val="22"/>
        </w:rPr>
        <w:t>emicizumab (Hemlibra®)</w:t>
      </w:r>
    </w:p>
    <w:p w14:paraId="28CF4DCF" w14:textId="77777777" w:rsidR="00D626D0" w:rsidRPr="00225DD0" w:rsidRDefault="00473876" w:rsidP="003D0655">
      <w:pPr>
        <w:pStyle w:val="P1"/>
        <w:rPr>
          <w:rFonts w:ascii="Calibri" w:hAnsi="Calibri" w:cs="Calibri"/>
          <w:sz w:val="22"/>
          <w:szCs w:val="22"/>
        </w:rPr>
      </w:pPr>
      <w:r w:rsidRPr="00225DD0">
        <w:rPr>
          <w:rFonts w:ascii="Calibri" w:hAnsi="Calibri" w:cs="Calibri"/>
          <w:sz w:val="22"/>
          <w:szCs w:val="22"/>
        </w:rPr>
        <w:t>The FDA approved the monoclonal antibody emicizumab in 2017 for the prevention of bleeding episodes in patients with hemophilia A – in other words, for prophylaxis. MASAC recommends giving consideration to using emicizumab for all patient with hemophilia A, regardless of age</w:t>
      </w:r>
      <w:r w:rsidR="00FC443C" w:rsidRPr="00225DD0">
        <w:rPr>
          <w:rFonts w:ascii="Calibri" w:hAnsi="Calibri" w:cs="Calibri"/>
          <w:sz w:val="22"/>
          <w:szCs w:val="22"/>
        </w:rPr>
        <w:t>, severity, or inhibitor status</w:t>
      </w:r>
      <w:r w:rsidRPr="00225DD0">
        <w:rPr>
          <w:rFonts w:ascii="Calibri" w:hAnsi="Calibri" w:cs="Calibri"/>
          <w:sz w:val="22"/>
          <w:szCs w:val="22"/>
        </w:rPr>
        <w:t>.</w:t>
      </w:r>
    </w:p>
    <w:p w14:paraId="33E8CD40" w14:textId="77777777" w:rsidR="00D626D0" w:rsidRPr="00225DD0" w:rsidRDefault="00473876" w:rsidP="003D0655">
      <w:pPr>
        <w:pStyle w:val="P1"/>
        <w:spacing w:after="120"/>
        <w:rPr>
          <w:rFonts w:ascii="Calibri" w:hAnsi="Calibri" w:cs="Calibri"/>
          <w:sz w:val="22"/>
          <w:szCs w:val="22"/>
        </w:rPr>
      </w:pPr>
      <w:r w:rsidRPr="00225DD0">
        <w:rPr>
          <w:rFonts w:ascii="Calibri" w:hAnsi="Calibri" w:cs="Calibri"/>
          <w:sz w:val="22"/>
          <w:szCs w:val="22"/>
        </w:rPr>
        <w:t>Accredo developed a formal Regimen Optimization Program for Hemlibra designed to evaluate the dose and frequency of emicizumab to assure that the overall regimen aligns with guidelines and is designed in a way that minimizes or eliminates waste. Hemlibra is available in four strengths: 30mg/mL, 60mg/0.4mL, 105mg/0.7mL, and 150mg/mL – all single-use vials. These options can be combined in myriad ways to achieve a target dose. Inappropriate combinations can significantly drive unnecessary and costly product wastage.</w:t>
      </w:r>
    </w:p>
    <w:p w14:paraId="0516DBEE" w14:textId="77777777" w:rsidR="00857F2F" w:rsidRPr="00225DD0" w:rsidRDefault="00857F2F">
      <w:pPr>
        <w:pStyle w:val="P1"/>
        <w:spacing w:after="120"/>
        <w:ind w:left="360"/>
        <w:rPr>
          <w:rFonts w:ascii="Calibri" w:hAnsi="Calibri" w:cs="Calibri"/>
          <w:sz w:val="22"/>
          <w:szCs w:val="22"/>
        </w:rPr>
      </w:pPr>
    </w:p>
    <w:p w14:paraId="58FFFE78" w14:textId="77777777" w:rsidR="00D626D0" w:rsidRPr="00225DD0" w:rsidRDefault="00473876" w:rsidP="00FC443C">
      <w:pPr>
        <w:pStyle w:val="P1"/>
        <w:spacing w:after="120"/>
        <w:rPr>
          <w:rFonts w:ascii="Calibri" w:hAnsi="Calibri" w:cs="Calibri"/>
          <w:sz w:val="22"/>
          <w:szCs w:val="22"/>
        </w:rPr>
      </w:pPr>
      <w:r w:rsidRPr="00225DD0">
        <w:rPr>
          <w:rFonts w:ascii="Calibri" w:hAnsi="Calibri" w:cs="Calibri"/>
          <w:sz w:val="22"/>
          <w:szCs w:val="22"/>
        </w:rPr>
        <w:lastRenderedPageBreak/>
        <w:t>A recent example: A 34-year-old, 102.1 male with severe hemophilia A was prescribed Hemlibra 345mg subQ every 14 days. The prescriber directed that the patient use two 150mg vials and one 60mg vial to achieve each dose, discarding the excess 15mg. On review it was determined that this dose delivered 3.6mg per kg per dose – the recommendation for an every 14 day frequency is 3mg per kg per dose. The Accredo pharmacist engaged the prescriber to recommend a dose reduction to align with the package insert and an alternate vial combination that resulted in zero wastage – both of which were accepted. The new dose/regimen, Hemlibra 300mg subQ every 14 days, avoids the potential for significant side effects due to a dose that is too high and can be achieved by using two 150mg vials per dose. At an AWP cost of $125 per mg, the annual savings is projected at $146,250 for this single intervention.</w:t>
      </w:r>
    </w:p>
    <w:p w14:paraId="6FD22698" w14:textId="77777777" w:rsidR="00D626D0" w:rsidRPr="00225DD0" w:rsidRDefault="00473876" w:rsidP="00FC443C">
      <w:pPr>
        <w:rPr>
          <w:rFonts w:ascii="Calibri" w:hAnsi="Calibri" w:cs="Calibri"/>
          <w:color w:val="auto"/>
          <w:sz w:val="22"/>
          <w:szCs w:val="22"/>
        </w:rPr>
      </w:pPr>
      <w:r w:rsidRPr="00225DD0">
        <w:rPr>
          <w:rFonts w:ascii="Calibri" w:hAnsi="Calibri" w:cs="Calibri"/>
          <w:color w:val="auto"/>
          <w:sz w:val="22"/>
          <w:szCs w:val="22"/>
        </w:rPr>
        <w:t xml:space="preserve">Blankenship C, Jacob M. Change in factor costs and units consumed by people with hemophilia A and B after switching from a standard half-life product to an extended half-life product. National Hemophilia Foundation. Oct 2018; Orlando, FL. </w:t>
      </w:r>
    </w:p>
    <w:p w14:paraId="6C1F8FB9" w14:textId="77777777" w:rsidR="00D626D0" w:rsidRPr="00225DD0" w:rsidRDefault="00473876" w:rsidP="00FC443C">
      <w:pPr>
        <w:rPr>
          <w:rFonts w:ascii="Calibri" w:hAnsi="Calibri" w:cs="Calibri"/>
          <w:color w:val="auto"/>
          <w:sz w:val="22"/>
          <w:szCs w:val="22"/>
        </w:rPr>
      </w:pPr>
      <w:r w:rsidRPr="00225DD0">
        <w:rPr>
          <w:rFonts w:ascii="Calibri" w:hAnsi="Calibri" w:cs="Calibri"/>
          <w:color w:val="auto"/>
          <w:sz w:val="22"/>
          <w:szCs w:val="22"/>
        </w:rPr>
        <w:t>Blankenship C, Jacob M. Change in factor costs and units consumed by people with hemophilia A and B after switching from a standard half-life product to an extended half-life product. Hemophilia Federation of America. April 2019; San Diego, CA.</w:t>
      </w:r>
    </w:p>
    <w:p w14:paraId="11D9ABD0" w14:textId="77777777" w:rsidR="00D626D0" w:rsidRPr="00225DD0" w:rsidRDefault="00473876" w:rsidP="00FC443C">
      <w:pPr>
        <w:rPr>
          <w:rFonts w:ascii="Calibri" w:hAnsi="Calibri" w:cs="Calibri"/>
          <w:color w:val="auto"/>
          <w:sz w:val="22"/>
          <w:szCs w:val="22"/>
        </w:rPr>
      </w:pPr>
      <w:r w:rsidRPr="00225DD0">
        <w:rPr>
          <w:rFonts w:ascii="Calibri" w:hAnsi="Calibri" w:cs="Calibri"/>
          <w:color w:val="auto"/>
          <w:sz w:val="22"/>
          <w:szCs w:val="22"/>
        </w:rPr>
        <w:t>National Hemophilia Foundation; Medical and Scientific Advisory Council. MASAC Recommendation on the Use and management of Emicizumab-kxwh (Hemlibra) for Hemophilia A with and without Inhibitors. March 16, 2020. Document 258.</w:t>
      </w:r>
    </w:p>
    <w:p w14:paraId="66A10AED" w14:textId="77777777" w:rsidR="00D626D0" w:rsidRPr="00225DD0" w:rsidRDefault="00473876">
      <w:pPr>
        <w:pStyle w:val="Q2"/>
        <w:rPr>
          <w:rFonts w:ascii="Calibri" w:hAnsi="Calibri" w:cs="Calibri"/>
          <w:sz w:val="22"/>
          <w:szCs w:val="22"/>
        </w:rPr>
      </w:pPr>
      <w:r w:rsidRPr="00225DD0">
        <w:rPr>
          <w:rFonts w:ascii="Calibri" w:hAnsi="Calibri" w:cs="Calibri"/>
          <w:sz w:val="22"/>
          <w:szCs w:val="22"/>
        </w:rPr>
        <w:t>5.2.1.7.8. Medical waste removal and disposal for members; and</w:t>
      </w:r>
    </w:p>
    <w:p w14:paraId="4B2D010F" w14:textId="77777777" w:rsidR="00D626D0" w:rsidRPr="00225DD0" w:rsidRDefault="00473876" w:rsidP="00FC443C">
      <w:pPr>
        <w:pStyle w:val="P1"/>
        <w:spacing w:line="276" w:lineRule="auto"/>
        <w:rPr>
          <w:rFonts w:ascii="Calibri" w:hAnsi="Calibri" w:cs="Calibri"/>
          <w:sz w:val="22"/>
          <w:szCs w:val="22"/>
        </w:rPr>
      </w:pPr>
      <w:r w:rsidRPr="00225DD0">
        <w:rPr>
          <w:rFonts w:ascii="Calibri" w:hAnsi="Calibri" w:cs="Calibri"/>
          <w:sz w:val="22"/>
          <w:szCs w:val="22"/>
        </w:rPr>
        <w:t>Accredo provides supplies for appropriate disposal of medical waste in accordance with all applicable regulations.</w:t>
      </w:r>
    </w:p>
    <w:p w14:paraId="188E89EC" w14:textId="77777777" w:rsidR="00D626D0" w:rsidRPr="00225DD0" w:rsidRDefault="00473876">
      <w:pPr>
        <w:pStyle w:val="Q2"/>
        <w:rPr>
          <w:rFonts w:ascii="Calibri" w:hAnsi="Calibri" w:cs="Calibri"/>
          <w:sz w:val="22"/>
          <w:szCs w:val="22"/>
        </w:rPr>
      </w:pPr>
      <w:r w:rsidRPr="00225DD0">
        <w:rPr>
          <w:rFonts w:ascii="Calibri" w:hAnsi="Calibri" w:cs="Calibri"/>
          <w:sz w:val="22"/>
          <w:szCs w:val="22"/>
        </w:rPr>
        <w:t>5.2.1.7.9. Emergency delivery service procedures, tracking and response logs/times.</w:t>
      </w:r>
    </w:p>
    <w:p w14:paraId="2F4DE4AC" w14:textId="77777777" w:rsidR="00D626D0" w:rsidRPr="00225DD0" w:rsidRDefault="00473876" w:rsidP="00FC443C">
      <w:pPr>
        <w:pStyle w:val="P1"/>
        <w:spacing w:line="276" w:lineRule="auto"/>
        <w:rPr>
          <w:rFonts w:ascii="Calibri" w:hAnsi="Calibri" w:cs="Calibri"/>
          <w:sz w:val="22"/>
          <w:szCs w:val="22"/>
        </w:rPr>
      </w:pPr>
      <w:r w:rsidRPr="00225DD0">
        <w:rPr>
          <w:rFonts w:ascii="Calibri" w:hAnsi="Calibri" w:cs="Calibri"/>
          <w:sz w:val="22"/>
          <w:szCs w:val="22"/>
        </w:rPr>
        <w:t>Specialty requests are prioritized according to patient safety and expedited to help ensure patients do not go without medication. To ensure that a member’s medication arrives on the date required and prevent emergency or rushed shipping situations, we proactively contact members to obtain approval of a shipping and delivery date.</w:t>
      </w:r>
      <w:r w:rsidR="00FC443C" w:rsidRPr="00225DD0">
        <w:rPr>
          <w:rFonts w:ascii="Calibri" w:hAnsi="Calibri" w:cs="Calibri"/>
          <w:sz w:val="22"/>
          <w:szCs w:val="22"/>
        </w:rPr>
        <w:t xml:space="preserve"> </w:t>
      </w:r>
      <w:r w:rsidRPr="00225DD0">
        <w:rPr>
          <w:rFonts w:ascii="Calibri" w:hAnsi="Calibri" w:cs="Calibri"/>
          <w:sz w:val="22"/>
          <w:szCs w:val="22"/>
        </w:rPr>
        <w:t>We also provide after-hours assistance through a toll-free number. Clinical staff, accessible 24 hours a day through a pager and auto-generated email system, assist for medical intervention and emergency refills.</w:t>
      </w:r>
      <w:r w:rsidR="00FC443C" w:rsidRPr="00225DD0">
        <w:rPr>
          <w:rFonts w:ascii="Calibri" w:hAnsi="Calibri" w:cs="Calibri"/>
          <w:sz w:val="22"/>
          <w:szCs w:val="22"/>
        </w:rPr>
        <w:t xml:space="preserve"> </w:t>
      </w:r>
      <w:r w:rsidRPr="00225DD0">
        <w:rPr>
          <w:rFonts w:ascii="Calibri" w:hAnsi="Calibri" w:cs="Calibri"/>
          <w:sz w:val="22"/>
          <w:szCs w:val="22"/>
        </w:rPr>
        <w:t>The following table represents our turnaround time for emergency orders:</w:t>
      </w:r>
    </w:p>
    <w:p w14:paraId="5A4A6E54" w14:textId="77777777" w:rsidR="00FC443C" w:rsidRPr="00225DD0" w:rsidRDefault="00FC443C" w:rsidP="00FC443C">
      <w:pPr>
        <w:pStyle w:val="P1"/>
        <w:spacing w:after="120" w:line="276" w:lineRule="auto"/>
        <w:rPr>
          <w:rFonts w:ascii="Calibri" w:hAnsi="Calibri" w:cs="Calibri"/>
          <w:i/>
          <w:sz w:val="22"/>
          <w:szCs w:val="22"/>
        </w:rPr>
      </w:pPr>
      <w:r w:rsidRPr="00225DD0">
        <w:rPr>
          <w:rFonts w:ascii="Calibri" w:hAnsi="Calibri" w:cs="Calibri"/>
          <w:i/>
          <w:sz w:val="22"/>
          <w:szCs w:val="22"/>
        </w:rPr>
        <w:t>*Complete orders require that all interventions have been satisfied and all member and plan sponsor information has been collected.</w:t>
      </w:r>
    </w:p>
    <w:tbl>
      <w:tblPr>
        <w:tblW w:w="9668" w:type="dxa"/>
        <w:tblCellSpacing w:w="0" w:type="auto"/>
        <w:tblInd w:w="360" w:type="dxa"/>
        <w:tblLook w:val="04A0" w:firstRow="1" w:lastRow="0" w:firstColumn="1" w:lastColumn="0" w:noHBand="0" w:noVBand="1"/>
      </w:tblPr>
      <w:tblGrid>
        <w:gridCol w:w="4860"/>
        <w:gridCol w:w="4808"/>
      </w:tblGrid>
      <w:tr w:rsidR="00D626D0" w:rsidRPr="00225DD0" w14:paraId="251711CA" w14:textId="77777777" w:rsidTr="00FC443C">
        <w:trPr>
          <w:trHeight w:val="47"/>
          <w:tblCellSpacing w:w="0" w:type="auto"/>
        </w:trPr>
        <w:tc>
          <w:tcPr>
            <w:tcW w:w="0" w:type="auto"/>
            <w:gridSpan w:val="2"/>
            <w:tcBorders>
              <w:top w:val="single" w:sz="11" w:space="0" w:color="A6A6A6"/>
              <w:bottom w:val="single" w:sz="11" w:space="0" w:color="A6A6A6"/>
            </w:tcBorders>
            <w:shd w:val="clear" w:color="auto" w:fill="5C7F71"/>
            <w:tcMar>
              <w:top w:w="57" w:type="dxa"/>
              <w:left w:w="86" w:type="dxa"/>
              <w:bottom w:w="25" w:type="dxa"/>
              <w:right w:w="86" w:type="dxa"/>
            </w:tcMar>
            <w:vAlign w:val="center"/>
          </w:tcPr>
          <w:p w14:paraId="7477702B" w14:textId="77777777" w:rsidR="00D626D0" w:rsidRPr="00225DD0" w:rsidRDefault="00473876">
            <w:pPr>
              <w:jc w:val="center"/>
              <w:rPr>
                <w:rFonts w:ascii="Calibri" w:hAnsi="Calibri" w:cs="Calibri"/>
                <w:sz w:val="22"/>
                <w:szCs w:val="22"/>
              </w:rPr>
            </w:pPr>
            <w:r w:rsidRPr="00225DD0">
              <w:rPr>
                <w:rFonts w:ascii="Calibri" w:hAnsi="Calibri" w:cs="Calibri"/>
                <w:color w:val="FFFFFF"/>
                <w:sz w:val="22"/>
                <w:szCs w:val="22"/>
              </w:rPr>
              <w:t>Emergency Order Turnaround Time Standards</w:t>
            </w:r>
          </w:p>
        </w:tc>
      </w:tr>
      <w:tr w:rsidR="00D626D0" w:rsidRPr="00225DD0" w14:paraId="13721B39" w14:textId="77777777" w:rsidTr="00FC443C">
        <w:trPr>
          <w:trHeight w:val="37"/>
          <w:tblCellSpacing w:w="0" w:type="auto"/>
        </w:trPr>
        <w:tc>
          <w:tcPr>
            <w:tcW w:w="4860" w:type="dxa"/>
            <w:tcBorders>
              <w:bottom w:val="single" w:sz="11" w:space="0" w:color="A6A6A6"/>
              <w:right w:val="single" w:sz="11" w:space="0" w:color="A6A6A6"/>
            </w:tcBorders>
            <w:shd w:val="clear" w:color="auto" w:fill="5C7F71"/>
            <w:tcMar>
              <w:top w:w="57" w:type="dxa"/>
              <w:left w:w="86" w:type="dxa"/>
              <w:bottom w:w="25" w:type="dxa"/>
              <w:right w:w="79" w:type="dxa"/>
            </w:tcMar>
            <w:vAlign w:val="center"/>
          </w:tcPr>
          <w:p w14:paraId="01124914" w14:textId="77777777" w:rsidR="00D626D0" w:rsidRPr="00225DD0" w:rsidRDefault="00473876">
            <w:pPr>
              <w:jc w:val="center"/>
              <w:rPr>
                <w:rFonts w:ascii="Calibri" w:hAnsi="Calibri" w:cs="Calibri"/>
                <w:sz w:val="22"/>
                <w:szCs w:val="22"/>
              </w:rPr>
            </w:pPr>
            <w:r w:rsidRPr="00225DD0">
              <w:rPr>
                <w:rFonts w:ascii="Calibri" w:hAnsi="Calibri" w:cs="Calibri"/>
                <w:color w:val="FFFFFF"/>
                <w:sz w:val="22"/>
                <w:szCs w:val="22"/>
              </w:rPr>
              <w:t>When Complete Order Is Received*</w:t>
            </w:r>
          </w:p>
        </w:tc>
        <w:tc>
          <w:tcPr>
            <w:tcW w:w="4808" w:type="dxa"/>
            <w:tcBorders>
              <w:bottom w:val="single" w:sz="11" w:space="0" w:color="A6A6A6"/>
            </w:tcBorders>
            <w:shd w:val="clear" w:color="auto" w:fill="5C7F71"/>
            <w:tcMar>
              <w:top w:w="57" w:type="dxa"/>
              <w:left w:w="79" w:type="dxa"/>
              <w:bottom w:w="25" w:type="dxa"/>
              <w:right w:w="86" w:type="dxa"/>
            </w:tcMar>
            <w:vAlign w:val="center"/>
          </w:tcPr>
          <w:p w14:paraId="358A3DD0" w14:textId="77777777" w:rsidR="00D626D0" w:rsidRPr="00225DD0" w:rsidRDefault="00473876">
            <w:pPr>
              <w:jc w:val="center"/>
              <w:rPr>
                <w:rFonts w:ascii="Calibri" w:hAnsi="Calibri" w:cs="Calibri"/>
                <w:sz w:val="22"/>
                <w:szCs w:val="22"/>
              </w:rPr>
            </w:pPr>
            <w:r w:rsidRPr="00225DD0">
              <w:rPr>
                <w:rFonts w:ascii="Calibri" w:hAnsi="Calibri" w:cs="Calibri"/>
                <w:color w:val="FFFFFF"/>
                <w:sz w:val="22"/>
                <w:szCs w:val="22"/>
              </w:rPr>
              <w:t>When Order Is Shipped</w:t>
            </w:r>
          </w:p>
        </w:tc>
      </w:tr>
      <w:tr w:rsidR="00D626D0" w:rsidRPr="00225DD0" w14:paraId="1A52B0FA" w14:textId="77777777" w:rsidTr="00FC443C">
        <w:trPr>
          <w:trHeight w:val="34"/>
          <w:tblCellSpacing w:w="0" w:type="auto"/>
        </w:trPr>
        <w:tc>
          <w:tcPr>
            <w:tcW w:w="4860" w:type="dxa"/>
            <w:tcBorders>
              <w:bottom w:val="single" w:sz="11" w:space="0" w:color="A6A6A6"/>
              <w:right w:val="single" w:sz="11" w:space="0" w:color="A6A6A6"/>
            </w:tcBorders>
            <w:tcMar>
              <w:top w:w="57" w:type="dxa"/>
              <w:left w:w="86" w:type="dxa"/>
              <w:bottom w:w="25" w:type="dxa"/>
              <w:right w:w="79" w:type="dxa"/>
            </w:tcMar>
            <w:vAlign w:val="center"/>
          </w:tcPr>
          <w:p w14:paraId="1B8B23AA" w14:textId="77777777" w:rsidR="00D626D0" w:rsidRPr="00225DD0" w:rsidRDefault="00473876">
            <w:pPr>
              <w:pStyle w:val="TableText"/>
              <w:jc w:val="center"/>
              <w:rPr>
                <w:rFonts w:ascii="Calibri" w:hAnsi="Calibri" w:cs="Calibri"/>
                <w:sz w:val="22"/>
                <w:szCs w:val="22"/>
              </w:rPr>
            </w:pPr>
            <w:r w:rsidRPr="00225DD0">
              <w:rPr>
                <w:rFonts w:ascii="Calibri" w:hAnsi="Calibri" w:cs="Calibri"/>
                <w:sz w:val="22"/>
                <w:szCs w:val="22"/>
              </w:rPr>
              <w:t>Complete order received before 10 a.m. MT</w:t>
            </w:r>
          </w:p>
        </w:tc>
        <w:tc>
          <w:tcPr>
            <w:tcW w:w="4808" w:type="dxa"/>
            <w:tcBorders>
              <w:bottom w:val="single" w:sz="11" w:space="0" w:color="A6A6A6"/>
            </w:tcBorders>
            <w:tcMar>
              <w:top w:w="57" w:type="dxa"/>
              <w:left w:w="79" w:type="dxa"/>
              <w:bottom w:w="25" w:type="dxa"/>
              <w:right w:w="86" w:type="dxa"/>
            </w:tcMar>
            <w:vAlign w:val="center"/>
          </w:tcPr>
          <w:p w14:paraId="43E3EEF3" w14:textId="77777777" w:rsidR="00D626D0" w:rsidRPr="00225DD0" w:rsidRDefault="00473876">
            <w:pPr>
              <w:pStyle w:val="TableText"/>
              <w:jc w:val="center"/>
              <w:rPr>
                <w:rFonts w:ascii="Calibri" w:hAnsi="Calibri" w:cs="Calibri"/>
                <w:sz w:val="22"/>
                <w:szCs w:val="22"/>
              </w:rPr>
            </w:pPr>
            <w:r w:rsidRPr="00225DD0">
              <w:rPr>
                <w:rFonts w:ascii="Calibri" w:hAnsi="Calibri" w:cs="Calibri"/>
                <w:sz w:val="22"/>
                <w:szCs w:val="22"/>
              </w:rPr>
              <w:t>Order is shipped the same business day</w:t>
            </w:r>
          </w:p>
        </w:tc>
      </w:tr>
      <w:tr w:rsidR="00D626D0" w:rsidRPr="00225DD0" w14:paraId="378E1586" w14:textId="77777777" w:rsidTr="00FC443C">
        <w:trPr>
          <w:trHeight w:val="33"/>
          <w:tblCellSpacing w:w="0" w:type="auto"/>
        </w:trPr>
        <w:tc>
          <w:tcPr>
            <w:tcW w:w="4860" w:type="dxa"/>
            <w:tcBorders>
              <w:bottom w:val="single" w:sz="11" w:space="0" w:color="A6A6A6"/>
              <w:right w:val="single" w:sz="11" w:space="0" w:color="A6A6A6"/>
            </w:tcBorders>
            <w:tcMar>
              <w:top w:w="57" w:type="dxa"/>
              <w:left w:w="86" w:type="dxa"/>
              <w:bottom w:w="25" w:type="dxa"/>
              <w:right w:w="79" w:type="dxa"/>
            </w:tcMar>
            <w:vAlign w:val="center"/>
          </w:tcPr>
          <w:p w14:paraId="715C3258" w14:textId="77777777" w:rsidR="00D626D0" w:rsidRPr="00225DD0" w:rsidRDefault="00473876">
            <w:pPr>
              <w:pStyle w:val="TableText"/>
              <w:jc w:val="center"/>
              <w:rPr>
                <w:rFonts w:ascii="Calibri" w:hAnsi="Calibri" w:cs="Calibri"/>
                <w:sz w:val="22"/>
                <w:szCs w:val="22"/>
              </w:rPr>
            </w:pPr>
            <w:r w:rsidRPr="00225DD0">
              <w:rPr>
                <w:rFonts w:ascii="Calibri" w:hAnsi="Calibri" w:cs="Calibri"/>
                <w:sz w:val="22"/>
                <w:szCs w:val="22"/>
              </w:rPr>
              <w:t>Complete order received after 10 a.m. MT</w:t>
            </w:r>
          </w:p>
        </w:tc>
        <w:tc>
          <w:tcPr>
            <w:tcW w:w="4808" w:type="dxa"/>
            <w:tcBorders>
              <w:bottom w:val="single" w:sz="11" w:space="0" w:color="A6A6A6"/>
            </w:tcBorders>
            <w:tcMar>
              <w:top w:w="57" w:type="dxa"/>
              <w:left w:w="79" w:type="dxa"/>
              <w:bottom w:w="25" w:type="dxa"/>
              <w:right w:w="86" w:type="dxa"/>
            </w:tcMar>
            <w:vAlign w:val="center"/>
          </w:tcPr>
          <w:p w14:paraId="79045DC4" w14:textId="77777777" w:rsidR="00D626D0" w:rsidRPr="00225DD0" w:rsidRDefault="00473876">
            <w:pPr>
              <w:pStyle w:val="TableText"/>
              <w:jc w:val="center"/>
              <w:rPr>
                <w:rFonts w:ascii="Calibri" w:hAnsi="Calibri" w:cs="Calibri"/>
                <w:sz w:val="22"/>
                <w:szCs w:val="22"/>
              </w:rPr>
            </w:pPr>
            <w:r w:rsidRPr="00225DD0">
              <w:rPr>
                <w:rFonts w:ascii="Calibri" w:hAnsi="Calibri" w:cs="Calibri"/>
                <w:sz w:val="22"/>
                <w:szCs w:val="22"/>
              </w:rPr>
              <w:t>Order is shipped the next business day</w:t>
            </w:r>
          </w:p>
        </w:tc>
      </w:tr>
    </w:tbl>
    <w:p w14:paraId="60DC901E" w14:textId="77777777" w:rsidR="00D626D0" w:rsidRPr="00225DD0" w:rsidRDefault="00473876" w:rsidP="00FC443C">
      <w:pPr>
        <w:pStyle w:val="Q1"/>
        <w:ind w:firstLine="0"/>
        <w:rPr>
          <w:rFonts w:ascii="Calibri" w:hAnsi="Calibri" w:cs="Calibri"/>
          <w:sz w:val="22"/>
          <w:szCs w:val="22"/>
        </w:rPr>
      </w:pPr>
      <w:r w:rsidRPr="00225DD0">
        <w:rPr>
          <w:rFonts w:ascii="Calibri" w:hAnsi="Calibri" w:cs="Calibri"/>
          <w:sz w:val="22"/>
          <w:szCs w:val="22"/>
        </w:rPr>
        <w:lastRenderedPageBreak/>
        <w:t>5.2.1.8. Provide a detailed description and examples of proposed quarterly clinical, statistical, and financial analyses. Include the following at a minimum:</w:t>
      </w:r>
    </w:p>
    <w:p w14:paraId="0891B1F5" w14:textId="77777777" w:rsidR="00D626D0" w:rsidRPr="00225DD0" w:rsidRDefault="00473876">
      <w:pPr>
        <w:pStyle w:val="P1"/>
        <w:spacing w:line="276" w:lineRule="auto"/>
        <w:rPr>
          <w:rFonts w:ascii="Calibri" w:hAnsi="Calibri" w:cs="Calibri"/>
          <w:sz w:val="22"/>
          <w:szCs w:val="22"/>
        </w:rPr>
      </w:pPr>
      <w:r w:rsidRPr="00225DD0">
        <w:rPr>
          <w:rFonts w:ascii="Calibri" w:hAnsi="Calibri" w:cs="Calibri"/>
          <w:sz w:val="22"/>
          <w:szCs w:val="22"/>
        </w:rPr>
        <w:t>Our robust reporting capabilities enable us to provide detailed member and prescription metrics. Our specialty account team works collaboratively with AHCCCS to understand your long-term strategic goals and determine the type of statistical information that would most effectively meet your needs. Quarterly, your account team will provide market and industry trends that impact AHCCCS’ hemophilia program.</w:t>
      </w:r>
    </w:p>
    <w:p w14:paraId="5864BC6C"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 xml:space="preserve">We have provided reporting samples in </w:t>
      </w:r>
      <w:r w:rsidRPr="00225DD0">
        <w:rPr>
          <w:rFonts w:ascii="Calibri" w:hAnsi="Calibri" w:cs="Calibri"/>
          <w:b/>
          <w:i/>
          <w:color w:val="F86C06"/>
          <w:sz w:val="22"/>
          <w:szCs w:val="22"/>
        </w:rPr>
        <w:t xml:space="preserve">Exhibit </w:t>
      </w:r>
      <w:r w:rsidR="00862A05" w:rsidRPr="00225DD0">
        <w:rPr>
          <w:rFonts w:ascii="Calibri" w:hAnsi="Calibri" w:cs="Calibri"/>
          <w:b/>
          <w:i/>
          <w:color w:val="F86C06"/>
          <w:sz w:val="22"/>
          <w:szCs w:val="22"/>
        </w:rPr>
        <w:t>3</w:t>
      </w:r>
      <w:r w:rsidRPr="00225DD0">
        <w:rPr>
          <w:rFonts w:ascii="Calibri" w:hAnsi="Calibri" w:cs="Calibri"/>
          <w:sz w:val="22"/>
          <w:szCs w:val="22"/>
        </w:rPr>
        <w:t>. Please see below for more details. </w:t>
      </w:r>
    </w:p>
    <w:p w14:paraId="2B9D72D2" w14:textId="77777777" w:rsidR="00D626D0" w:rsidRPr="00225DD0" w:rsidRDefault="00473876">
      <w:pPr>
        <w:pStyle w:val="P1"/>
        <w:spacing w:after="120" w:line="276" w:lineRule="auto"/>
        <w:rPr>
          <w:rFonts w:ascii="Calibri" w:hAnsi="Calibri" w:cs="Calibri"/>
          <w:sz w:val="22"/>
          <w:szCs w:val="22"/>
        </w:rPr>
      </w:pPr>
      <w:r w:rsidRPr="00225DD0">
        <w:rPr>
          <w:rFonts w:ascii="Calibri" w:hAnsi="Calibri" w:cs="Calibri"/>
          <w:sz w:val="22"/>
          <w:szCs w:val="22"/>
        </w:rPr>
        <w:t>Accredo will launch our new payer portal for Hemophilia members filling prescriptions at Accredo in 2023. Payers will have access to daily updated information on medication dispenses to treat hemophilia as well as information on patient-reported bleeding events and treatments administered to support the bleed. Payers will be able to log into the portal at any time to get the latest information (within 24 hours) related to its members. An example of this portal is provided in </w:t>
      </w:r>
      <w:r w:rsidRPr="00225DD0">
        <w:rPr>
          <w:rFonts w:ascii="Calibri" w:hAnsi="Calibri" w:cs="Calibri"/>
          <w:b/>
          <w:i/>
          <w:color w:val="F86C06"/>
          <w:sz w:val="22"/>
          <w:szCs w:val="22"/>
        </w:rPr>
        <w:t xml:space="preserve">Exhibit </w:t>
      </w:r>
      <w:r w:rsidR="00862A05" w:rsidRPr="00225DD0">
        <w:rPr>
          <w:rFonts w:ascii="Calibri" w:hAnsi="Calibri" w:cs="Calibri"/>
          <w:b/>
          <w:i/>
          <w:color w:val="F86C06"/>
          <w:sz w:val="22"/>
          <w:szCs w:val="22"/>
        </w:rPr>
        <w:t>4</w:t>
      </w:r>
      <w:r w:rsidRPr="00225DD0">
        <w:rPr>
          <w:rFonts w:ascii="Calibri" w:hAnsi="Calibri" w:cs="Calibri"/>
          <w:b/>
          <w:i/>
          <w:color w:val="F86C06"/>
          <w:sz w:val="22"/>
          <w:szCs w:val="22"/>
        </w:rPr>
        <w:t>.</w:t>
      </w:r>
    </w:p>
    <w:p w14:paraId="524AB83B" w14:textId="77777777" w:rsidR="00D626D0" w:rsidRPr="00225DD0" w:rsidRDefault="00473876" w:rsidP="00FC443C">
      <w:pPr>
        <w:pStyle w:val="Q2"/>
        <w:ind w:left="0" w:firstLine="0"/>
        <w:rPr>
          <w:rFonts w:ascii="Calibri" w:hAnsi="Calibri" w:cs="Calibri"/>
          <w:sz w:val="22"/>
          <w:szCs w:val="22"/>
        </w:rPr>
      </w:pPr>
      <w:r w:rsidRPr="00225DD0">
        <w:rPr>
          <w:rFonts w:ascii="Calibri" w:hAnsi="Calibri" w:cs="Calibri"/>
          <w:sz w:val="22"/>
          <w:szCs w:val="22"/>
        </w:rPr>
        <w:t>5.2.1.8.1. Assessment, reporting, and consultation with AHCCCS on current and future trends regarding the use of prescribed anti-hemophilic agents;</w:t>
      </w:r>
    </w:p>
    <w:p w14:paraId="178A9663" w14:textId="77777777" w:rsidR="00D626D0" w:rsidRPr="00225DD0" w:rsidRDefault="00473876" w:rsidP="00FC443C">
      <w:pPr>
        <w:pStyle w:val="P1"/>
        <w:spacing w:after="120" w:line="260" w:lineRule="auto"/>
        <w:rPr>
          <w:rFonts w:ascii="Calibri" w:hAnsi="Calibri" w:cs="Calibri"/>
          <w:sz w:val="22"/>
          <w:szCs w:val="22"/>
        </w:rPr>
      </w:pPr>
      <w:r w:rsidRPr="00225DD0">
        <w:rPr>
          <w:rFonts w:ascii="Calibri" w:hAnsi="Calibri" w:cs="Calibri"/>
          <w:sz w:val="22"/>
          <w:szCs w:val="22"/>
        </w:rPr>
        <w:t>The Senior Clinical Consultant for Bleeding Disorders maintains an ongoing list of all products in the pipeline to treat bleeding disorders.  All new clinical information, including published literature as well as that available in public domain such as ClinicalTrials.com, is reviewed regularly with the intent of evaluating the expected impact on prescribe anti-hemophilia agents.  Review with the health plan can be done at the quarterly meeting or more frequently if requested.</w:t>
      </w:r>
    </w:p>
    <w:p w14:paraId="3AB81D78" w14:textId="77777777" w:rsidR="00D626D0" w:rsidRPr="00225DD0" w:rsidRDefault="00473876">
      <w:pPr>
        <w:pStyle w:val="Q2"/>
        <w:rPr>
          <w:rFonts w:ascii="Calibri" w:hAnsi="Calibri" w:cs="Calibri"/>
          <w:sz w:val="22"/>
          <w:szCs w:val="22"/>
        </w:rPr>
      </w:pPr>
      <w:r w:rsidRPr="00225DD0">
        <w:rPr>
          <w:rFonts w:ascii="Calibri" w:hAnsi="Calibri" w:cs="Calibri"/>
          <w:sz w:val="22"/>
          <w:szCs w:val="22"/>
        </w:rPr>
        <w:t>5.2.1.8.2. Identification of trends that may be a result of over or under-utilization of anti-hemophilic agents;</w:t>
      </w:r>
    </w:p>
    <w:p w14:paraId="444F65B3" w14:textId="77777777" w:rsidR="00D626D0" w:rsidRPr="00225DD0" w:rsidRDefault="00473876" w:rsidP="00FC443C">
      <w:pPr>
        <w:pStyle w:val="P1"/>
        <w:spacing w:line="276" w:lineRule="auto"/>
        <w:rPr>
          <w:rFonts w:ascii="Calibri" w:hAnsi="Calibri" w:cs="Calibri"/>
          <w:sz w:val="22"/>
          <w:szCs w:val="22"/>
        </w:rPr>
      </w:pPr>
      <w:r w:rsidRPr="00225DD0">
        <w:rPr>
          <w:rFonts w:ascii="Calibri" w:hAnsi="Calibri" w:cs="Calibri"/>
          <w:sz w:val="22"/>
          <w:szCs w:val="22"/>
        </w:rPr>
        <w:t>Your quarterly reporting package will include a utilization summary, comparisons, and the percentage of change from previous periods so you can track patients’ usage and identify trends. </w:t>
      </w:r>
    </w:p>
    <w:p w14:paraId="34FD6D74" w14:textId="77777777" w:rsidR="00D626D0" w:rsidRPr="00225DD0" w:rsidRDefault="00473876">
      <w:pPr>
        <w:pStyle w:val="Q2"/>
        <w:rPr>
          <w:rFonts w:ascii="Calibri" w:hAnsi="Calibri" w:cs="Calibri"/>
          <w:sz w:val="22"/>
          <w:szCs w:val="22"/>
        </w:rPr>
      </w:pPr>
      <w:r w:rsidRPr="00225DD0">
        <w:rPr>
          <w:rFonts w:ascii="Calibri" w:hAnsi="Calibri" w:cs="Calibri"/>
          <w:sz w:val="22"/>
          <w:szCs w:val="22"/>
        </w:rPr>
        <w:t>5.2.1.8.3. Documentation of members’ treatment compliance;</w:t>
      </w:r>
    </w:p>
    <w:p w14:paraId="795CC46B" w14:textId="77777777" w:rsidR="00D626D0" w:rsidRPr="00225DD0" w:rsidRDefault="00473876" w:rsidP="00FC443C">
      <w:pPr>
        <w:pStyle w:val="P1"/>
        <w:spacing w:after="120" w:line="260" w:lineRule="auto"/>
        <w:rPr>
          <w:rFonts w:ascii="Calibri" w:hAnsi="Calibri" w:cs="Calibri"/>
          <w:sz w:val="22"/>
          <w:szCs w:val="22"/>
        </w:rPr>
      </w:pPr>
      <w:r w:rsidRPr="00225DD0">
        <w:rPr>
          <w:rFonts w:ascii="Calibri" w:hAnsi="Calibri" w:cs="Calibri"/>
          <w:sz w:val="22"/>
          <w:szCs w:val="22"/>
        </w:rPr>
        <w:t>Your quarterly reporting package will include individual patient care management data, disease progression, and adherence reports to monitor patient compliance to hemophilia therapies. </w:t>
      </w:r>
    </w:p>
    <w:p w14:paraId="76E82F6F" w14:textId="77777777" w:rsidR="00D626D0" w:rsidRPr="00225DD0" w:rsidRDefault="00473876" w:rsidP="00FC443C">
      <w:pPr>
        <w:pStyle w:val="Q2"/>
        <w:ind w:left="0" w:firstLine="0"/>
        <w:rPr>
          <w:rFonts w:ascii="Calibri" w:hAnsi="Calibri" w:cs="Calibri"/>
          <w:sz w:val="22"/>
          <w:szCs w:val="22"/>
        </w:rPr>
      </w:pPr>
      <w:r w:rsidRPr="00225DD0">
        <w:rPr>
          <w:rFonts w:ascii="Calibri" w:hAnsi="Calibri" w:cs="Calibri"/>
          <w:sz w:val="22"/>
          <w:szCs w:val="22"/>
        </w:rPr>
        <w:t>5.2.1.8.4. Documentation including claims data per member, data trends in utilization and costs, and cost control strategies; and</w:t>
      </w:r>
    </w:p>
    <w:p w14:paraId="4470AB30" w14:textId="77777777" w:rsidR="00D626D0" w:rsidRPr="00225DD0" w:rsidRDefault="00473876" w:rsidP="00FC443C">
      <w:pPr>
        <w:pStyle w:val="P1"/>
        <w:spacing w:after="120" w:line="260" w:lineRule="auto"/>
        <w:rPr>
          <w:rFonts w:ascii="Calibri" w:hAnsi="Calibri" w:cs="Calibri"/>
          <w:sz w:val="22"/>
          <w:szCs w:val="22"/>
        </w:rPr>
      </w:pPr>
      <w:r w:rsidRPr="00225DD0">
        <w:rPr>
          <w:rFonts w:ascii="Calibri" w:hAnsi="Calibri" w:cs="Calibri"/>
          <w:sz w:val="22"/>
          <w:szCs w:val="22"/>
        </w:rPr>
        <w:t>Your quarterly reporting package will include top specialty drug ranking and top specialty therapy class ranking compared to previous periods, including number of claims, number of members, and plan cost. </w:t>
      </w:r>
    </w:p>
    <w:p w14:paraId="31641FA3" w14:textId="77777777" w:rsidR="00D626D0" w:rsidRPr="00225DD0" w:rsidRDefault="00473876" w:rsidP="00FC443C">
      <w:pPr>
        <w:pStyle w:val="Q2"/>
        <w:ind w:left="0" w:firstLine="0"/>
        <w:rPr>
          <w:rFonts w:ascii="Calibri" w:hAnsi="Calibri" w:cs="Calibri"/>
          <w:sz w:val="22"/>
          <w:szCs w:val="22"/>
        </w:rPr>
      </w:pPr>
      <w:r w:rsidRPr="00225DD0">
        <w:rPr>
          <w:rFonts w:ascii="Calibri" w:hAnsi="Calibri" w:cs="Calibri"/>
          <w:sz w:val="22"/>
          <w:szCs w:val="22"/>
        </w:rPr>
        <w:lastRenderedPageBreak/>
        <w:t>5.2.1.8.5. Documentation of scheduled and emergency shipping and delivery times of anti-hemophilic and other blood disorder medication, related products and supplies.</w:t>
      </w:r>
    </w:p>
    <w:p w14:paraId="691E89D4" w14:textId="77777777" w:rsidR="00D626D0" w:rsidRPr="00225DD0" w:rsidRDefault="00473876" w:rsidP="00FC443C">
      <w:pPr>
        <w:pStyle w:val="P1"/>
        <w:spacing w:before="0" w:line="276" w:lineRule="auto"/>
        <w:rPr>
          <w:rFonts w:ascii="Calibri" w:hAnsi="Calibri" w:cs="Calibri"/>
          <w:sz w:val="22"/>
          <w:szCs w:val="22"/>
        </w:rPr>
      </w:pPr>
      <w:r w:rsidRPr="00225DD0">
        <w:rPr>
          <w:rFonts w:ascii="Calibri" w:hAnsi="Calibri" w:cs="Calibri"/>
          <w:sz w:val="22"/>
          <w:szCs w:val="22"/>
        </w:rPr>
        <w:t>A custom report can be developed to provide scheduled and emergency delivery information. Your account team will provide reporting on shipping and delivery times of the patients’ medications, including emergency shipping.</w:t>
      </w:r>
    </w:p>
    <w:p w14:paraId="539A6D25" w14:textId="77777777" w:rsidR="00D626D0" w:rsidRPr="00225DD0" w:rsidRDefault="00473876" w:rsidP="00FC443C">
      <w:pPr>
        <w:pStyle w:val="H1"/>
        <w:spacing w:before="0" w:line="396" w:lineRule="auto"/>
        <w:rPr>
          <w:rFonts w:ascii="Calibri" w:hAnsi="Calibri" w:cs="Calibri"/>
          <w:sz w:val="22"/>
          <w:szCs w:val="22"/>
        </w:rPr>
      </w:pPr>
      <w:r w:rsidRPr="00225DD0">
        <w:rPr>
          <w:rFonts w:ascii="Calibri" w:hAnsi="Calibri" w:cs="Calibri"/>
          <w:sz w:val="22"/>
          <w:szCs w:val="22"/>
        </w:rPr>
        <w:t>Online Reporting</w:t>
      </w:r>
    </w:p>
    <w:p w14:paraId="665A0A31" w14:textId="77777777" w:rsidR="00D626D0" w:rsidRPr="00225DD0" w:rsidRDefault="00473876" w:rsidP="00FC443C">
      <w:pPr>
        <w:pStyle w:val="P1"/>
        <w:spacing w:after="120" w:line="276" w:lineRule="auto"/>
        <w:rPr>
          <w:rFonts w:ascii="Calibri" w:hAnsi="Calibri" w:cs="Calibri"/>
          <w:sz w:val="22"/>
          <w:szCs w:val="22"/>
        </w:rPr>
      </w:pPr>
      <w:r w:rsidRPr="00225DD0">
        <w:rPr>
          <w:rFonts w:ascii="Calibri" w:hAnsi="Calibri" w:cs="Calibri"/>
          <w:sz w:val="22"/>
          <w:szCs w:val="22"/>
        </w:rPr>
        <w:t>Our Specialty Analytics, Reporting, and Modeling team supports our account teams and their clients. We have the ability to build reporting and modeling that can be delivered in a variety of formats that allow for speed of delivery, key metrics, and ease of understanding. We currently have a reporting tool that allows AHCCCS’ account team to automatically generate a deep dive into your specialty trend data to allow for meaningful consultation and planning. Additionally, we can readily create ad hoc analytics and reporting to discover root causes.</w:t>
      </w:r>
    </w:p>
    <w:p w14:paraId="2745ED44" w14:textId="77777777" w:rsidR="00D626D0" w:rsidRPr="00225DD0" w:rsidRDefault="00473876" w:rsidP="00FC443C">
      <w:pPr>
        <w:pStyle w:val="P1"/>
        <w:spacing w:after="120" w:line="276" w:lineRule="auto"/>
        <w:rPr>
          <w:rFonts w:ascii="Calibri" w:hAnsi="Calibri" w:cs="Calibri"/>
          <w:sz w:val="22"/>
          <w:szCs w:val="22"/>
        </w:rPr>
      </w:pPr>
      <w:r w:rsidRPr="00225DD0">
        <w:rPr>
          <w:rFonts w:ascii="Calibri" w:hAnsi="Calibri" w:cs="Calibri"/>
          <w:sz w:val="22"/>
          <w:szCs w:val="22"/>
        </w:rPr>
        <w:t>Our long-term plan is to enhance our award-winning reporting tools to create a specialty-focused client dashboard that allows interactive access to your data and real-time notifications of meaningful medical and pharmacy occurrences. In addition, this tool enables access to other pre-built reporting and modeling tools. Our plans also include delivering predictive modeling on patient behavior, client trend, and outcomes.</w:t>
      </w:r>
    </w:p>
    <w:p w14:paraId="40AC2005" w14:textId="77777777" w:rsidR="00D626D0" w:rsidRPr="00225DD0" w:rsidRDefault="00473876" w:rsidP="00FC443C">
      <w:pPr>
        <w:pStyle w:val="H1"/>
        <w:spacing w:line="396" w:lineRule="auto"/>
        <w:rPr>
          <w:rFonts w:ascii="Calibri" w:hAnsi="Calibri" w:cs="Calibri"/>
          <w:sz w:val="22"/>
          <w:szCs w:val="22"/>
        </w:rPr>
      </w:pPr>
      <w:r w:rsidRPr="00225DD0">
        <w:rPr>
          <w:rFonts w:ascii="Calibri" w:hAnsi="Calibri" w:cs="Calibri"/>
          <w:sz w:val="22"/>
          <w:szCs w:val="22"/>
        </w:rPr>
        <w:t>Ad Hoc Reporting</w:t>
      </w:r>
    </w:p>
    <w:p w14:paraId="26554340" w14:textId="77777777" w:rsidR="00D626D0" w:rsidRPr="00225DD0" w:rsidRDefault="00473876" w:rsidP="00FC443C">
      <w:pPr>
        <w:pStyle w:val="P1"/>
        <w:spacing w:after="120" w:line="276" w:lineRule="auto"/>
        <w:rPr>
          <w:rFonts w:ascii="Calibri" w:hAnsi="Calibri" w:cs="Calibri"/>
          <w:sz w:val="22"/>
          <w:szCs w:val="22"/>
        </w:rPr>
      </w:pPr>
      <w:r w:rsidRPr="00225DD0">
        <w:rPr>
          <w:rFonts w:ascii="Calibri" w:hAnsi="Calibri" w:cs="Calibri"/>
          <w:sz w:val="22"/>
          <w:szCs w:val="22"/>
        </w:rPr>
        <w:t>Our advanced system can provide care management data capture and tracking, outcomes monitoring, adherence and compliance reporting, plan sponsor data, and utilization management reporting. Our proprietary pharmacy management system also allows for the development of additional enhancements as necessary.</w:t>
      </w:r>
    </w:p>
    <w:p w14:paraId="3001A327" w14:textId="77777777" w:rsidR="00D626D0" w:rsidRPr="00225DD0" w:rsidRDefault="00473876" w:rsidP="00FC443C">
      <w:pPr>
        <w:pStyle w:val="P1"/>
        <w:spacing w:after="120" w:line="276" w:lineRule="auto"/>
        <w:rPr>
          <w:rFonts w:ascii="Calibri" w:hAnsi="Calibri" w:cs="Calibri"/>
          <w:sz w:val="22"/>
          <w:szCs w:val="22"/>
        </w:rPr>
      </w:pPr>
      <w:r w:rsidRPr="00225DD0">
        <w:rPr>
          <w:rFonts w:ascii="Calibri" w:hAnsi="Calibri" w:cs="Calibri"/>
          <w:sz w:val="22"/>
          <w:szCs w:val="22"/>
        </w:rPr>
        <w:t>AHCCCS’ account management team facilitates requests for custom and ad hoc reports. Our experienced staff works with you to deliver enhanced data extracts and custom reports as needed. Reporting may include:</w:t>
      </w:r>
    </w:p>
    <w:p w14:paraId="49DCCBC9" w14:textId="77777777" w:rsidR="00D626D0" w:rsidRPr="00225DD0" w:rsidRDefault="00473876" w:rsidP="00FC443C">
      <w:pPr>
        <w:pStyle w:val="DB1"/>
        <w:numPr>
          <w:ilvl w:val="0"/>
          <w:numId w:val="34"/>
        </w:numPr>
        <w:spacing w:after="0"/>
        <w:rPr>
          <w:rFonts w:ascii="Calibri" w:hAnsi="Calibri" w:cs="Calibri"/>
          <w:sz w:val="22"/>
          <w:szCs w:val="22"/>
        </w:rPr>
      </w:pPr>
      <w:r w:rsidRPr="00225DD0">
        <w:rPr>
          <w:rFonts w:ascii="Calibri" w:hAnsi="Calibri" w:cs="Calibri"/>
          <w:sz w:val="22"/>
          <w:szCs w:val="22"/>
        </w:rPr>
        <w:t>Adherence and persistency</w:t>
      </w:r>
    </w:p>
    <w:p w14:paraId="3682B5D6" w14:textId="77777777" w:rsidR="00D626D0" w:rsidRPr="00225DD0" w:rsidRDefault="00473876" w:rsidP="00FC443C">
      <w:pPr>
        <w:pStyle w:val="DB1"/>
        <w:numPr>
          <w:ilvl w:val="0"/>
          <w:numId w:val="34"/>
        </w:numPr>
        <w:spacing w:after="0"/>
        <w:rPr>
          <w:rFonts w:ascii="Calibri" w:hAnsi="Calibri" w:cs="Calibri"/>
          <w:sz w:val="22"/>
          <w:szCs w:val="22"/>
        </w:rPr>
      </w:pPr>
      <w:r w:rsidRPr="00225DD0">
        <w:rPr>
          <w:rFonts w:ascii="Calibri" w:hAnsi="Calibri" w:cs="Calibri"/>
          <w:sz w:val="22"/>
          <w:szCs w:val="22"/>
        </w:rPr>
        <w:t>Benchmarking of key metrics</w:t>
      </w:r>
    </w:p>
    <w:p w14:paraId="4F86A816" w14:textId="77777777" w:rsidR="00D626D0" w:rsidRPr="00225DD0" w:rsidRDefault="00473876" w:rsidP="00FC443C">
      <w:pPr>
        <w:pStyle w:val="DB1"/>
        <w:numPr>
          <w:ilvl w:val="0"/>
          <w:numId w:val="34"/>
        </w:numPr>
        <w:spacing w:after="0"/>
        <w:rPr>
          <w:rFonts w:ascii="Calibri" w:hAnsi="Calibri" w:cs="Calibri"/>
          <w:sz w:val="22"/>
          <w:szCs w:val="22"/>
        </w:rPr>
      </w:pPr>
      <w:r w:rsidRPr="00225DD0">
        <w:rPr>
          <w:rFonts w:ascii="Calibri" w:hAnsi="Calibri" w:cs="Calibri"/>
          <w:sz w:val="22"/>
          <w:szCs w:val="22"/>
        </w:rPr>
        <w:t>Drug pipeline</w:t>
      </w:r>
    </w:p>
    <w:p w14:paraId="7BEB298F" w14:textId="77777777" w:rsidR="00D626D0" w:rsidRPr="00225DD0" w:rsidRDefault="00473876" w:rsidP="00FC443C">
      <w:pPr>
        <w:pStyle w:val="DB1"/>
        <w:numPr>
          <w:ilvl w:val="0"/>
          <w:numId w:val="34"/>
        </w:numPr>
        <w:spacing w:after="0"/>
        <w:rPr>
          <w:rFonts w:ascii="Calibri" w:hAnsi="Calibri" w:cs="Calibri"/>
          <w:sz w:val="22"/>
          <w:szCs w:val="22"/>
        </w:rPr>
      </w:pPr>
      <w:r w:rsidRPr="00225DD0">
        <w:rPr>
          <w:rFonts w:ascii="Calibri" w:hAnsi="Calibri" w:cs="Calibri"/>
          <w:sz w:val="22"/>
          <w:szCs w:val="22"/>
        </w:rPr>
        <w:t>Limited distribution drug availability</w:t>
      </w:r>
    </w:p>
    <w:p w14:paraId="07A63D6D" w14:textId="77777777" w:rsidR="00D626D0" w:rsidRPr="00225DD0" w:rsidRDefault="00473876" w:rsidP="00FC443C">
      <w:pPr>
        <w:pStyle w:val="DB1"/>
        <w:numPr>
          <w:ilvl w:val="0"/>
          <w:numId w:val="34"/>
        </w:numPr>
        <w:spacing w:after="0"/>
        <w:rPr>
          <w:rFonts w:ascii="Calibri" w:hAnsi="Calibri" w:cs="Calibri"/>
          <w:sz w:val="22"/>
          <w:szCs w:val="22"/>
        </w:rPr>
      </w:pPr>
      <w:r w:rsidRPr="00225DD0">
        <w:rPr>
          <w:rFonts w:ascii="Calibri" w:hAnsi="Calibri" w:cs="Calibri"/>
          <w:sz w:val="22"/>
          <w:szCs w:val="22"/>
        </w:rPr>
        <w:t>Patient assistance program utilization</w:t>
      </w:r>
    </w:p>
    <w:p w14:paraId="0F8F366C" w14:textId="77777777" w:rsidR="00D626D0" w:rsidRPr="00225DD0" w:rsidRDefault="00473876" w:rsidP="00FC443C">
      <w:pPr>
        <w:pStyle w:val="DB1"/>
        <w:numPr>
          <w:ilvl w:val="0"/>
          <w:numId w:val="34"/>
        </w:numPr>
        <w:spacing w:after="0"/>
        <w:rPr>
          <w:rFonts w:ascii="Calibri" w:hAnsi="Calibri" w:cs="Calibri"/>
          <w:sz w:val="22"/>
          <w:szCs w:val="22"/>
        </w:rPr>
      </w:pPr>
      <w:r w:rsidRPr="00225DD0">
        <w:rPr>
          <w:rFonts w:ascii="Calibri" w:hAnsi="Calibri" w:cs="Calibri"/>
          <w:sz w:val="22"/>
          <w:szCs w:val="22"/>
        </w:rPr>
        <w:t>Trending reports</w:t>
      </w:r>
    </w:p>
    <w:p w14:paraId="04278D14" w14:textId="77777777" w:rsidR="00D626D0" w:rsidRPr="00225DD0" w:rsidRDefault="00473876" w:rsidP="00FC443C">
      <w:pPr>
        <w:pStyle w:val="DB1"/>
        <w:numPr>
          <w:ilvl w:val="0"/>
          <w:numId w:val="34"/>
        </w:numPr>
        <w:spacing w:after="0"/>
        <w:rPr>
          <w:rFonts w:ascii="Calibri" w:hAnsi="Calibri" w:cs="Calibri"/>
          <w:sz w:val="22"/>
          <w:szCs w:val="22"/>
        </w:rPr>
      </w:pPr>
      <w:r w:rsidRPr="00225DD0">
        <w:rPr>
          <w:rFonts w:ascii="Calibri" w:hAnsi="Calibri" w:cs="Calibri"/>
          <w:sz w:val="22"/>
          <w:szCs w:val="22"/>
        </w:rPr>
        <w:t>Utilization and cost</w:t>
      </w:r>
    </w:p>
    <w:p w14:paraId="7C5BE272" w14:textId="77777777" w:rsidR="00FC443C" w:rsidRPr="00225DD0" w:rsidRDefault="00FC443C" w:rsidP="00FC443C">
      <w:pPr>
        <w:spacing w:after="0"/>
        <w:rPr>
          <w:rFonts w:ascii="Calibri" w:hAnsi="Calibri" w:cs="Calibri"/>
          <w:sz w:val="22"/>
          <w:szCs w:val="22"/>
        </w:rPr>
      </w:pPr>
    </w:p>
    <w:p w14:paraId="6C0B39BB" w14:textId="77777777" w:rsidR="00D626D0" w:rsidRPr="00225DD0" w:rsidRDefault="00473876" w:rsidP="00FC443C">
      <w:pPr>
        <w:spacing w:after="0"/>
        <w:rPr>
          <w:rFonts w:ascii="Calibri" w:hAnsi="Calibri" w:cs="Calibri"/>
          <w:sz w:val="22"/>
          <w:szCs w:val="22"/>
        </w:rPr>
      </w:pPr>
      <w:r w:rsidRPr="00225DD0">
        <w:rPr>
          <w:rFonts w:ascii="Calibri" w:hAnsi="Calibri" w:cs="Calibri"/>
          <w:sz w:val="22"/>
          <w:szCs w:val="22"/>
        </w:rPr>
        <w:t>Highly customized reports requiring IT programming may incur additional costs depending on the complexity of the requested reporting.</w:t>
      </w:r>
    </w:p>
    <w:p w14:paraId="05B2A0C4" w14:textId="77777777" w:rsidR="00D626D0" w:rsidRPr="00225DD0" w:rsidRDefault="00473876">
      <w:pPr>
        <w:pStyle w:val="Q2"/>
        <w:rPr>
          <w:rFonts w:ascii="Calibri" w:hAnsi="Calibri" w:cs="Calibri"/>
          <w:sz w:val="22"/>
          <w:szCs w:val="22"/>
        </w:rPr>
      </w:pPr>
      <w:r w:rsidRPr="00225DD0">
        <w:rPr>
          <w:rFonts w:ascii="Calibri" w:hAnsi="Calibri" w:cs="Calibri"/>
          <w:sz w:val="22"/>
          <w:szCs w:val="22"/>
        </w:rPr>
        <w:t>5.2.1.8.6. Utilization reports by product, member, and prophylaxis/non- prophylaxis use.</w:t>
      </w:r>
    </w:p>
    <w:p w14:paraId="30CE2CFC" w14:textId="77777777" w:rsidR="00D626D0" w:rsidRPr="00225DD0" w:rsidRDefault="00473876" w:rsidP="00FC443C">
      <w:pPr>
        <w:rPr>
          <w:rFonts w:ascii="Calibri" w:hAnsi="Calibri" w:cs="Calibri"/>
          <w:sz w:val="22"/>
          <w:szCs w:val="22"/>
        </w:rPr>
      </w:pPr>
      <w:r w:rsidRPr="00225DD0">
        <w:rPr>
          <w:rFonts w:ascii="Calibri" w:hAnsi="Calibri" w:cs="Calibri"/>
          <w:sz w:val="22"/>
          <w:szCs w:val="22"/>
        </w:rPr>
        <w:t>Confirmed.</w:t>
      </w:r>
    </w:p>
    <w:p w14:paraId="70A098B5" w14:textId="77777777" w:rsidR="00FC443C" w:rsidRPr="00225DD0" w:rsidRDefault="00FC443C">
      <w:pPr>
        <w:spacing w:line="276" w:lineRule="auto"/>
        <w:rPr>
          <w:rFonts w:ascii="Calibri" w:hAnsi="Calibri" w:cs="Calibri"/>
          <w:color w:val="15A4A7" w:themeColor="accent1"/>
          <w:sz w:val="22"/>
          <w:szCs w:val="22"/>
        </w:rPr>
      </w:pPr>
      <w:r w:rsidRPr="00225DD0">
        <w:rPr>
          <w:rFonts w:ascii="Calibri" w:hAnsi="Calibri" w:cs="Calibri"/>
          <w:sz w:val="22"/>
          <w:szCs w:val="22"/>
        </w:rPr>
        <w:br w:type="page"/>
      </w:r>
    </w:p>
    <w:p w14:paraId="5C0F5DCD" w14:textId="77777777" w:rsidR="00D626D0" w:rsidRPr="00225DD0" w:rsidRDefault="00473876" w:rsidP="00FC443C">
      <w:pPr>
        <w:pStyle w:val="Q1"/>
        <w:ind w:firstLine="0"/>
        <w:rPr>
          <w:rFonts w:ascii="Calibri" w:hAnsi="Calibri" w:cs="Calibri"/>
          <w:sz w:val="22"/>
          <w:szCs w:val="22"/>
        </w:rPr>
      </w:pPr>
      <w:r w:rsidRPr="00225DD0">
        <w:rPr>
          <w:rFonts w:ascii="Calibri" w:hAnsi="Calibri" w:cs="Calibri"/>
          <w:sz w:val="22"/>
          <w:szCs w:val="22"/>
        </w:rPr>
        <w:lastRenderedPageBreak/>
        <w:t>5.2.1.9. Describe the process for transitioning members who are required to meet the 340B Covered Entity relationship requirements. The 340B Covered Entity must demonstrate that the one-to-one relationship between the patient, the covered entity and the prescribing clinician has been met in order to be compliant with the 340B Program requirements, if applicable to the Offeror.</w:t>
      </w:r>
    </w:p>
    <w:p w14:paraId="548E59AA" w14:textId="77777777" w:rsidR="00D626D0" w:rsidRPr="00225DD0" w:rsidRDefault="00473876">
      <w:pPr>
        <w:rPr>
          <w:rFonts w:ascii="Calibri" w:hAnsi="Calibri" w:cs="Calibri"/>
          <w:sz w:val="22"/>
          <w:szCs w:val="22"/>
        </w:rPr>
      </w:pPr>
      <w:r w:rsidRPr="00225DD0">
        <w:rPr>
          <w:rFonts w:ascii="Calibri" w:hAnsi="Calibri" w:cs="Calibri"/>
          <w:sz w:val="22"/>
          <w:szCs w:val="22"/>
        </w:rPr>
        <w:t>Not applicable. Per Solicitation Amendment #1, section 5.2.1.9 of the Special Instructi</w:t>
      </w:r>
      <w:r w:rsidR="00E72AF6" w:rsidRPr="00225DD0">
        <w:rPr>
          <w:rFonts w:ascii="Calibri" w:hAnsi="Calibri" w:cs="Calibri"/>
          <w:sz w:val="22"/>
          <w:szCs w:val="22"/>
        </w:rPr>
        <w:t>ons to Offerors wa</w:t>
      </w:r>
      <w:r w:rsidRPr="00225DD0">
        <w:rPr>
          <w:rFonts w:ascii="Calibri" w:hAnsi="Calibri" w:cs="Calibri"/>
          <w:sz w:val="22"/>
          <w:szCs w:val="22"/>
        </w:rPr>
        <w:t>s removed from the RFP</w:t>
      </w:r>
      <w:r w:rsidR="00FC443C" w:rsidRPr="00225DD0">
        <w:rPr>
          <w:rFonts w:ascii="Calibri" w:hAnsi="Calibri" w:cs="Calibri"/>
          <w:sz w:val="22"/>
          <w:szCs w:val="22"/>
        </w:rPr>
        <w:t>,</w:t>
      </w:r>
      <w:r w:rsidRPr="00225DD0">
        <w:rPr>
          <w:rFonts w:ascii="Calibri" w:hAnsi="Calibri" w:cs="Calibri"/>
          <w:sz w:val="22"/>
          <w:szCs w:val="22"/>
        </w:rPr>
        <w:t xml:space="preserve"> as it is not applicable.</w:t>
      </w:r>
    </w:p>
    <w:sectPr w:rsidR="00D626D0" w:rsidRPr="00225DD0" w:rsidSect="0043637D">
      <w:headerReference w:type="default" r:id="rId9"/>
      <w:footerReference w:type="default" r:id="rId10"/>
      <w:footerReference w:type="first" r:id="rId11"/>
      <w:pgSz w:w="12240" w:h="15840"/>
      <w:pgMar w:top="720" w:right="720" w:bottom="720" w:left="720" w:header="720" w:footer="51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750A" w14:textId="77777777" w:rsidR="00C45A23" w:rsidRDefault="00C45A23" w:rsidP="007661F3">
      <w:r>
        <w:separator/>
      </w:r>
    </w:p>
  </w:endnote>
  <w:endnote w:type="continuationSeparator" w:id="0">
    <w:p w14:paraId="50D897A9" w14:textId="77777777" w:rsidR="00C45A23" w:rsidRDefault="00C45A23" w:rsidP="0076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eGothic">
    <w:altName w:val="TradeGothic"/>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221F3" w14:textId="77777777" w:rsidR="00E52929" w:rsidRDefault="00E52929" w:rsidP="00E52929">
    <w:pPr>
      <w:tabs>
        <w:tab w:val="left" w:pos="749"/>
        <w:tab w:val="left" w:pos="3600"/>
        <w:tab w:val="right" w:pos="9360"/>
      </w:tabs>
      <w:spacing w:line="360" w:lineRule="auto"/>
    </w:pPr>
    <w:r>
      <w:rPr>
        <w:noProof/>
      </w:rPr>
      <w:drawing>
        <wp:anchor distT="0" distB="0" distL="114300" distR="114300" simplePos="0" relativeHeight="251673600" behindDoc="1" locked="0" layoutInCell="1" allowOverlap="1" wp14:anchorId="10A80D7F" wp14:editId="1A1A83E7">
          <wp:simplePos x="0" y="0"/>
          <wp:positionH relativeFrom="page">
            <wp:posOffset>472745</wp:posOffset>
          </wp:positionH>
          <wp:positionV relativeFrom="page">
            <wp:posOffset>9140190</wp:posOffset>
          </wp:positionV>
          <wp:extent cx="1356360" cy="3282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_logo_1c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6360" cy="328295"/>
                  </a:xfrm>
                  <a:prstGeom prst="rect">
                    <a:avLst/>
                  </a:prstGeom>
                </pic:spPr>
              </pic:pic>
            </a:graphicData>
          </a:graphic>
          <wp14:sizeRelH relativeFrom="margin">
            <wp14:pctWidth>0</wp14:pctWidth>
          </wp14:sizeRelH>
        </wp:anchor>
      </w:drawing>
    </w:r>
  </w:p>
  <w:p w14:paraId="12FD25FF" w14:textId="77777777" w:rsidR="00E52929" w:rsidRPr="00E52929" w:rsidRDefault="00E52929" w:rsidP="00E52929">
    <w:pPr>
      <w:tabs>
        <w:tab w:val="left" w:pos="3600"/>
      </w:tabs>
      <w:spacing w:after="0" w:line="360" w:lineRule="auto"/>
      <w:jc w:val="right"/>
      <w:rPr>
        <w:rFonts w:ascii="Franklin Gothic Book" w:hAnsi="Franklin Gothic Book"/>
        <w:color w:val="auto"/>
        <w:sz w:val="20"/>
        <w:szCs w:val="20"/>
      </w:rPr>
    </w:pPr>
    <w:r w:rsidRPr="00360716">
      <w:rPr>
        <w:noProof/>
      </w:rPr>
      <mc:AlternateContent>
        <mc:Choice Requires="wps">
          <w:drawing>
            <wp:anchor distT="0" distB="0" distL="114300" distR="114300" simplePos="0" relativeHeight="251692032" behindDoc="0" locked="0" layoutInCell="1" allowOverlap="1" wp14:anchorId="0642E254" wp14:editId="4EF166D7">
              <wp:simplePos x="0" y="0"/>
              <wp:positionH relativeFrom="column">
                <wp:posOffset>1381125</wp:posOffset>
              </wp:positionH>
              <wp:positionV relativeFrom="paragraph">
                <wp:posOffset>193040</wp:posOffset>
              </wp:positionV>
              <wp:extent cx="5486400" cy="0"/>
              <wp:effectExtent l="0" t="0" r="19050" b="19050"/>
              <wp:wrapNone/>
              <wp:docPr id="20"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3175">
                        <a:solidFill>
                          <a:schemeClr val="tx1">
                            <a:lumMod val="75000"/>
                            <a:lumOff val="2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473911" id="_x0000_t32" coordsize="21600,21600" o:spt="32" o:oned="t" path="m,l21600,21600e" filled="f">
              <v:path arrowok="t" fillok="f" o:connecttype="none"/>
              <o:lock v:ext="edit" shapetype="t"/>
            </v:shapetype>
            <v:shape id="AutoShape 117" o:spid="_x0000_s1026" type="#_x0000_t32" style="position:absolute;margin-left:108.75pt;margin-top:15.2pt;width:6in;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xs1OQIAAHgEAAAOAAAAZHJzL2Uyb0RvYy54bWysVE2P2yAQvVfqf0C+J7azzsdacVYrO+ll&#10;20ba7Q8ggGNUDAhI7Kjqf++AE7dpL1XVC4Zh5s28mYfXT30r0JkZy5UsonSaRIhJoiiXxyL68rab&#10;rCJkHZYUCyVZEV2YjZ4279+tO52zmWqUoMwgAJE273QRNc7pPI4taViL7VRpJuGyVqbFDo7mGFOD&#10;O0BvRTxLkkXcKUO1UYRZC9ZquIw2Ab+uGXGf69oyh0QRQW0urCasB7/GmzXOjwbrhpNrGfgfqmgx&#10;l5B0hKqww+hk+B9QLSdGWVW7KVFtrOqaExY4AJs0+Y3Na4M1C1ygOVaPbbL/D5Z8Ou8N4rSIZtAe&#10;iVuY0fPJqZAapenSd6jTNgfHUu6N50h6+apfFPlqkVRlg+WRBfe3i4bo1EfEdyH+YDXkOXQfFQUf&#10;DBlCu/ratB4SGoH6MJXLOBXWO0TAOM9WiyyB6sjtLsb5LVAb6z4w1SK/KSLrDObHxpVKSpi9MmlI&#10;g88v1vmycH4L8Fml2nEhggSERF0RPaTLeQiwSnDqL71bECMrhUFnDDJy/QAqTi2wGWzLeQIVDkin&#10;FiQ3mGc3MyQeUUIZdwmMOkkaghuG6fa6d5iLYQ/RQvpKoCVA5Lob9PXtMXncrrarbJLNFttJllTV&#10;5HlXZpPFDshUD1VZVul3TyrN8oZTyqTnddN6mv2dlq6vblDpqPaxgfE9eqAIxd6+oeigCS+DQVAH&#10;RS9744fi5QHyDs7Xp+jfz6/n4PXzh7H5AQAA//8DAFBLAwQUAAYACAAAACEAoPFPwt8AAAAKAQAA&#10;DwAAAGRycy9kb3ducmV2LnhtbEyPwU4CMRCG7ya+QzMm3qTdFZGs2yXEiCYmHEAPeCvbcbehnW62&#10;BZa3t4SDHOefL/98U84GZ9kB+2A8SchGAhhS7bWhRsL31+JhCixERVpZTyjhhAFm1e1NqQrtj7TC&#10;wzo2LJVQKJSENsau4DzULToVRr5DSrtf3zsV09g3XPfqmMqd5bkQE+6UoXShVR2+tljv1nsnYbOi&#10;yJc/H5vxe2bypXmz/vO0kPL+bpi/AIs4xH8YzvpJHarktPV70oFZCXn2/JRQCY9iDOwMiGmWku0l&#10;4VXJr1+o/gAAAP//AwBQSwECLQAUAAYACAAAACEAtoM4kv4AAADhAQAAEwAAAAAAAAAAAAAAAAAA&#10;AAAAW0NvbnRlbnRfVHlwZXNdLnhtbFBLAQItABQABgAIAAAAIQA4/SH/1gAAAJQBAAALAAAAAAAA&#10;AAAAAAAAAC8BAABfcmVscy8ucmVsc1BLAQItABQABgAIAAAAIQAp4xs1OQIAAHgEAAAOAAAAAAAA&#10;AAAAAAAAAC4CAABkcnMvZTJvRG9jLnhtbFBLAQItABQABgAIAAAAIQCg8U/C3wAAAAoBAAAPAAAA&#10;AAAAAAAAAAAAAJMEAABkcnMvZG93bnJldi54bWxQSwUGAAAAAAQABADzAAAAnwUAAAAA&#10;" strokecolor="#404040 [2429]" strokeweight=".25pt"/>
          </w:pict>
        </mc:Fallback>
      </mc:AlternateContent>
    </w:r>
    <w:r w:rsidRPr="00E52929">
      <w:rPr>
        <w:rFonts w:ascii="Franklin Gothic Book" w:hAnsi="Franklin Gothic Book"/>
        <w:color w:val="auto"/>
      </w:rPr>
      <w:tab/>
    </w:r>
    <w:r w:rsidR="00857F2F">
      <w:rPr>
        <w:rFonts w:ascii="Franklin Gothic Book" w:hAnsi="Franklin Gothic Book"/>
        <w:color w:val="auto"/>
        <w:sz w:val="20"/>
        <w:szCs w:val="20"/>
      </w:rPr>
      <w:t>AHCCCS</w:t>
    </w:r>
  </w:p>
  <w:p w14:paraId="14A75C64" w14:textId="77777777" w:rsidR="00E52929" w:rsidRPr="00E52929" w:rsidRDefault="00857F2F" w:rsidP="00E52929">
    <w:pPr>
      <w:tabs>
        <w:tab w:val="left" w:pos="6681"/>
      </w:tabs>
      <w:spacing w:after="0" w:line="360" w:lineRule="auto"/>
      <w:jc w:val="right"/>
      <w:rPr>
        <w:rFonts w:ascii="Franklin Gothic Book" w:hAnsi="Franklin Gothic Book"/>
        <w:color w:val="auto"/>
        <w:sz w:val="20"/>
        <w:szCs w:val="20"/>
      </w:rPr>
    </w:pPr>
    <w:r>
      <w:rPr>
        <w:rFonts w:ascii="Franklin Gothic Book" w:hAnsi="Franklin Gothic Book"/>
        <w:color w:val="auto"/>
        <w:sz w:val="20"/>
        <w:szCs w:val="20"/>
      </w:rPr>
      <w:t>June 1, 2023</w:t>
    </w:r>
  </w:p>
  <w:p w14:paraId="73901701" w14:textId="77777777" w:rsidR="005C4C6E" w:rsidRDefault="00E52929" w:rsidP="00223359">
    <w:pPr>
      <w:pStyle w:val="Footer"/>
    </w:pPr>
    <w:r>
      <w:rPr>
        <w:noProof/>
      </w:rPr>
      <mc:AlternateContent>
        <mc:Choice Requires="wps">
          <w:drawing>
            <wp:anchor distT="0" distB="0" distL="114300" distR="114300" simplePos="0" relativeHeight="251662336" behindDoc="0" locked="0" layoutInCell="1" allowOverlap="1" wp14:anchorId="1E031409" wp14:editId="77244D25">
              <wp:simplePos x="0" y="0"/>
              <wp:positionH relativeFrom="page">
                <wp:posOffset>7185025</wp:posOffset>
              </wp:positionH>
              <wp:positionV relativeFrom="page">
                <wp:posOffset>9665970</wp:posOffset>
              </wp:positionV>
              <wp:extent cx="325120" cy="201930"/>
              <wp:effectExtent l="0" t="0" r="17780" b="7620"/>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3C1BF" w14:textId="77777777" w:rsidR="0061380A" w:rsidRPr="004633CB" w:rsidRDefault="00B32A17" w:rsidP="007B16C3">
                          <w:pPr>
                            <w:pStyle w:val="FooterPage"/>
                          </w:pPr>
                          <w:r>
                            <w:fldChar w:fldCharType="begin"/>
                          </w:r>
                          <w:r>
                            <w:instrText xml:space="preserve"> PAGE   \* MERGEFORMAT </w:instrText>
                          </w:r>
                          <w:r>
                            <w:fldChar w:fldCharType="separate"/>
                          </w:r>
                          <w:r w:rsidR="009E1DF6">
                            <w:rPr>
                              <w:noProof/>
                            </w:rPr>
                            <w:t>12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031409" id="_x0000_t202" coordsize="21600,21600" o:spt="202" path="m,l,21600r21600,l21600,xe">
              <v:stroke joinstyle="miter"/>
              <v:path gradientshapeok="t" o:connecttype="rect"/>
            </v:shapetype>
            <v:shape id="Text Box 1" o:spid="_x0000_s1026" type="#_x0000_t202" style="position:absolute;margin-left:565.75pt;margin-top:761.1pt;width:25.6pt;height:15.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qRN1AEAAJADAAAOAAAAZHJzL2Uyb0RvYy54bWysU9uO0zAQfUfiHyy/07RdgSBqulp2tQhp&#10;uUgLH+A4dmKReMyM26R8PWOn6XJ5Q7xYk5nx8TlnJrvraejF0SA58JXcrNZSGK+hcb6t5Ncv9y9e&#10;S0FR+Ub14E0lT4bk9f75s90YSrOFDvrGoGAQT+UYKtnFGMqiIN2ZQdEKgvFctICDivyJbdGgGhl9&#10;6Ivtev2qGAGbgKANEWfv5qLcZ3xrjY6frCUTRV9J5hbzifms01nsd6psUYXO6TMN9Q8sBuU8P3qB&#10;ulNRiQO6v6AGpxEIbFxpGAqw1mmTNbCazfoPNY+dCiZrYXMoXGyi/werPx4fw2cUcXoLEw8wi6Dw&#10;APobCQ+3nfKtuUGEsTOq4Yc3ybJiDFSeryarqaQEUo8foOEhq0OEDDRZHJIrrFMwOg/gdDHdTFFo&#10;Tl5tX262XNFcYg/eXOWhFKpcLgek+M7AIFJQSeSZZnB1fKCYyKhyaUlvebh3fZ/n2vvfEtyYMpl8&#10;4jszj1M9cXcSUUNzYhkI85rwWnPQAf6QYuQVqSR9Pyg0UvTvPVuR9mkJcAnqJVBe89VKRinm8DbO&#10;e3cI6NqOkWezPdywXdZlKU8szjx57FnheUXTXv36nbuefqT9TwAAAP//AwBQSwMEFAAGAAgAAAAh&#10;APQV8OHiAAAADwEAAA8AAABkcnMvZG93bnJldi54bWxMj8FOwzAQRO9I/IO1SNyoHUNKm8apKgQn&#10;JNQ0HDg6sZtYjdchdtvw9zgnuO3sjmbf5NvJ9uSiR28cCkgWDIjGximDrYDP6u1hBcQHiUr2DrWA&#10;H+1hW9ze5DJT7oqlvhxCS2II+kwK6EIYMkp902kr/cINGuPt6EYrQ5RjS9UorzHc9pQztqRWGowf&#10;Ojnol043p8PZCth9Yflqvj/qfXksTVWtGb4vT0Lc3027DZCgp/Bnhhk/okMRmWp3RuVJH3XymKTR&#10;G6eUcw5k9iQr/gyknnfpEwNa5PR/j+IXAAD//wMAUEsBAi0AFAAGAAgAAAAhALaDOJL+AAAA4QEA&#10;ABMAAAAAAAAAAAAAAAAAAAAAAFtDb250ZW50X1R5cGVzXS54bWxQSwECLQAUAAYACAAAACEAOP0h&#10;/9YAAACUAQAACwAAAAAAAAAAAAAAAAAvAQAAX3JlbHMvLnJlbHNQSwECLQAUAAYACAAAACEAZD6k&#10;TdQBAACQAwAADgAAAAAAAAAAAAAAAAAuAgAAZHJzL2Uyb0RvYy54bWxQSwECLQAUAAYACAAAACEA&#10;9BXw4eIAAAAPAQAADwAAAAAAAAAAAAAAAAAuBAAAZHJzL2Rvd25yZXYueG1sUEsFBgAAAAAEAAQA&#10;8wAAAD0FAAAAAA==&#10;" filled="f" stroked="f">
              <v:textbox inset="0,0,0,0">
                <w:txbxContent>
                  <w:p w14:paraId="3E13C1BF" w14:textId="77777777" w:rsidR="0061380A" w:rsidRPr="004633CB" w:rsidRDefault="00B32A17" w:rsidP="007B16C3">
                    <w:pPr>
                      <w:pStyle w:val="FooterPage"/>
                    </w:pPr>
                    <w:r>
                      <w:fldChar w:fldCharType="begin"/>
                    </w:r>
                    <w:r>
                      <w:instrText xml:space="preserve"> PAGE   \* MERGEFORMAT </w:instrText>
                    </w:r>
                    <w:r>
                      <w:fldChar w:fldCharType="separate"/>
                    </w:r>
                    <w:r w:rsidR="009E1DF6">
                      <w:rPr>
                        <w:noProof/>
                      </w:rPr>
                      <w:t>12</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8FEC4" w14:textId="77777777" w:rsidR="00E52929" w:rsidRDefault="00225DD0" w:rsidP="00E52929">
    <w:pPr>
      <w:tabs>
        <w:tab w:val="left" w:pos="749"/>
        <w:tab w:val="left" w:pos="3600"/>
        <w:tab w:val="right" w:pos="9360"/>
      </w:tabs>
      <w:spacing w:line="360" w:lineRule="auto"/>
    </w:pPr>
    <w:r>
      <w:rPr>
        <w:noProof/>
      </w:rPr>
      <w:drawing>
        <wp:anchor distT="0" distB="0" distL="114300" distR="114300" simplePos="0" relativeHeight="251687936" behindDoc="1" locked="0" layoutInCell="1" allowOverlap="1" wp14:anchorId="46B08744" wp14:editId="7D421B3C">
          <wp:simplePos x="0" y="0"/>
          <wp:positionH relativeFrom="page">
            <wp:posOffset>482930</wp:posOffset>
          </wp:positionH>
          <wp:positionV relativeFrom="page">
            <wp:posOffset>7959090</wp:posOffset>
          </wp:positionV>
          <wp:extent cx="1356360" cy="328295"/>
          <wp:effectExtent l="0" t="0" r="0" b="0"/>
          <wp:wrapNone/>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_logo_1c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6360" cy="328295"/>
                  </a:xfrm>
                  <a:prstGeom prst="rect">
                    <a:avLst/>
                  </a:prstGeom>
                </pic:spPr>
              </pic:pic>
            </a:graphicData>
          </a:graphic>
          <wp14:sizeRelH relativeFrom="margin">
            <wp14:pctWidth>0</wp14:pctWidth>
          </wp14:sizeRelH>
        </wp:anchor>
      </w:drawing>
    </w:r>
    <w:r w:rsidR="00E52929">
      <w:rPr>
        <w:rFonts w:ascii="Arial Narrow" w:hAnsi="Arial Narrow"/>
        <w:color w:val="5C7F71"/>
        <w:sz w:val="20"/>
        <w:szCs w:val="20"/>
      </w:rPr>
      <w:tab/>
    </w:r>
  </w:p>
  <w:p w14:paraId="6D726976" w14:textId="77777777" w:rsidR="00E52929" w:rsidRPr="00756510" w:rsidRDefault="00E52929" w:rsidP="00E52929">
    <w:pPr>
      <w:tabs>
        <w:tab w:val="left" w:pos="3600"/>
      </w:tabs>
      <w:spacing w:after="0" w:line="360" w:lineRule="auto"/>
      <w:jc w:val="right"/>
      <w:rPr>
        <w:rFonts w:ascii="Franklin Gothic Book" w:hAnsi="Franklin Gothic Book"/>
        <w:color w:val="auto"/>
        <w:sz w:val="20"/>
        <w:szCs w:val="20"/>
      </w:rPr>
    </w:pPr>
    <w:r w:rsidRPr="00360716">
      <w:rPr>
        <w:noProof/>
      </w:rPr>
      <mc:AlternateContent>
        <mc:Choice Requires="wps">
          <w:drawing>
            <wp:anchor distT="0" distB="0" distL="114300" distR="114300" simplePos="0" relativeHeight="251685888" behindDoc="0" locked="0" layoutInCell="1" allowOverlap="1" wp14:anchorId="6C1BBD56" wp14:editId="7F3B85D9">
              <wp:simplePos x="0" y="0"/>
              <wp:positionH relativeFrom="column">
                <wp:posOffset>1381125</wp:posOffset>
              </wp:positionH>
              <wp:positionV relativeFrom="paragraph">
                <wp:posOffset>193040</wp:posOffset>
              </wp:positionV>
              <wp:extent cx="5486400" cy="0"/>
              <wp:effectExtent l="0" t="0" r="19050" b="19050"/>
              <wp:wrapNone/>
              <wp:docPr id="2"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3175">
                        <a:solidFill>
                          <a:schemeClr val="tx1">
                            <a:lumMod val="75000"/>
                            <a:lumOff val="2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7CABFE" id="_x0000_t32" coordsize="21600,21600" o:spt="32" o:oned="t" path="m,l21600,21600e" filled="f">
              <v:path arrowok="t" fillok="f" o:connecttype="none"/>
              <o:lock v:ext="edit" shapetype="t"/>
            </v:shapetype>
            <v:shape id="AutoShape 117" o:spid="_x0000_s1026" type="#_x0000_t32" style="position:absolute;margin-left:108.75pt;margin-top:15.2pt;width:6in;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tmcOQIAAHcEAAAOAAAAZHJzL2Uyb0RvYy54bWysVE2P2yAQvVfqf0DcE9tZ52OtOKuVnfSy&#10;bSPt9gcQwDEqBgQkTlT1v3fASdq0l6rqBcMw82bezMPLp1Mn0ZFbJ7QqcTZOMeKKaibUvsRf3jaj&#10;BUbOE8WI1IqX+Mwdflq9f7fsTcEnutWScYsARLmiNyVuvTdFkjja8o64sTZcwWWjbUc8HO0+YZb0&#10;gN7JZJKms6TXlhmrKXcOrPVwiVcRv2k49Z+bxnGPZImhNh9XG9ddWJPVkhR7S0wr6KUM8g9VdEQo&#10;SHqDqokn6GDFH1CdoFY73fgx1V2im0ZQHjkAmyz9jc1rSwyPXKA5ztza5P4fLP103FokWIknGCnS&#10;wYieD17HzCjL5qFBvXEF+FVqawNFelKv5kXTrw4pXbVE7Xl0fzsbiM5CRHIXEg7OQJpd/1Ez8CGQ&#10;IXbr1NguQEIf0CkO5XwbCj95RME4zRezPIXZ0etdQoproLHOf+C6Q2FTYuctEfvWV1opGL22WUxD&#10;ji/Oh7JIcQ0IWZXeCCmjAqRCfYkfsvk0BjgtBQuXwS1qkVfSoiMBFfnTACoPHbAZbPNpChUOSIcO&#10;FDeYJ1czJL6hxDLuElh9UCwGt5yw9WXviZDDHqKlCpVAS4DIZTfI69tj+rherBf5KJ/M1qM8revR&#10;86bKR7MNkKkf6qqqs++BVJYXrWCMq8DrKvUs/zspXR7dINKb2G8NTO7RI0Uo9vqNRUdNBBkMgtpp&#10;dt7aMJQgD1B3dL68xPB8fj1Hr5//i9UPAAAA//8DAFBLAwQUAAYACAAAACEAoPFPwt8AAAAKAQAA&#10;DwAAAGRycy9kb3ducmV2LnhtbEyPwU4CMRCG7ya+QzMm3qTdFZGs2yXEiCYmHEAPeCvbcbehnW62&#10;BZa3t4SDHOefL/98U84GZ9kB+2A8SchGAhhS7bWhRsL31+JhCixERVpZTyjhhAFm1e1NqQrtj7TC&#10;wzo2LJVQKJSENsau4DzULToVRr5DSrtf3zsV09g3XPfqmMqd5bkQE+6UoXShVR2+tljv1nsnYbOi&#10;yJc/H5vxe2bypXmz/vO0kPL+bpi/AIs4xH8YzvpJHarktPV70oFZCXn2/JRQCY9iDOwMiGmWku0l&#10;4VXJr1+o/gAAAP//AwBQSwECLQAUAAYACAAAACEAtoM4kv4AAADhAQAAEwAAAAAAAAAAAAAAAAAA&#10;AAAAW0NvbnRlbnRfVHlwZXNdLnhtbFBLAQItABQABgAIAAAAIQA4/SH/1gAAAJQBAAALAAAAAAAA&#10;AAAAAAAAAC8BAABfcmVscy8ucmVsc1BLAQItABQABgAIAAAAIQBrQtmcOQIAAHcEAAAOAAAAAAAA&#10;AAAAAAAAAC4CAABkcnMvZTJvRG9jLnhtbFBLAQItABQABgAIAAAAIQCg8U/C3wAAAAoBAAAPAAAA&#10;AAAAAAAAAAAAAJMEAABkcnMvZG93bnJldi54bWxQSwUGAAAAAAQABADzAAAAnwUAAAAA&#10;" strokecolor="#404040 [2429]" strokeweight=".25pt"/>
          </w:pict>
        </mc:Fallback>
      </mc:AlternateContent>
    </w:r>
    <w:r w:rsidRPr="00E52929">
      <w:rPr>
        <w:rFonts w:ascii="Franklin Gothic Book" w:hAnsi="Franklin Gothic Book"/>
        <w:color w:val="auto"/>
      </w:rPr>
      <w:tab/>
    </w:r>
    <w:r w:rsidR="00473876">
      <w:rPr>
        <w:rFonts w:ascii="Franklin Gothic Book" w:hAnsi="Franklin Gothic Book"/>
        <w:color w:val="auto"/>
        <w:sz w:val="20"/>
        <w:szCs w:val="20"/>
      </w:rPr>
      <w:t>AHCCCS</w:t>
    </w:r>
  </w:p>
  <w:p w14:paraId="5944BFEA" w14:textId="77777777" w:rsidR="00E52929" w:rsidRPr="00756510" w:rsidRDefault="00473876" w:rsidP="00E52929">
    <w:pPr>
      <w:tabs>
        <w:tab w:val="left" w:pos="6681"/>
      </w:tabs>
      <w:spacing w:after="0" w:line="360" w:lineRule="auto"/>
      <w:jc w:val="right"/>
      <w:rPr>
        <w:rFonts w:ascii="Franklin Gothic Book" w:hAnsi="Franklin Gothic Book"/>
        <w:color w:val="auto"/>
        <w:sz w:val="20"/>
        <w:szCs w:val="20"/>
      </w:rPr>
    </w:pPr>
    <w:r>
      <w:rPr>
        <w:rFonts w:ascii="Franklin Gothic Book" w:hAnsi="Franklin Gothic Book"/>
        <w:color w:val="auto"/>
        <w:sz w:val="20"/>
        <w:szCs w:val="20"/>
      </w:rPr>
      <w:t>June 1, 2023</w:t>
    </w:r>
  </w:p>
  <w:p w14:paraId="3D834B26" w14:textId="77777777" w:rsidR="00E52929" w:rsidRPr="00B82133" w:rsidRDefault="00E52929" w:rsidP="00E52929">
    <w:pPr>
      <w:rPr>
        <w:rFonts w:ascii="Arial Narrow" w:hAnsi="Arial Narrow"/>
        <w:color w:val="595959"/>
        <w:sz w:val="16"/>
        <w:szCs w:val="16"/>
      </w:rPr>
    </w:pPr>
    <w:r>
      <w:rPr>
        <w:rFonts w:ascii="Arial Narrow" w:hAnsi="Arial Narrow"/>
        <w:color w:val="595959"/>
        <w:sz w:val="16"/>
        <w:szCs w:val="16"/>
      </w:rPr>
      <w:t>All of the materials in this proposal and any materials subsequently disclosed in any media form that relate to this proposal ("Proposal Materials") are confidential and the sole and exclusive proprietar</w:t>
    </w:r>
    <w:r w:rsidRPr="00B82133">
      <w:rPr>
        <w:rFonts w:ascii="Arial Narrow" w:hAnsi="Arial Narrow"/>
        <w:color w:val="595959"/>
        <w:sz w:val="16"/>
        <w:szCs w:val="16"/>
      </w:rPr>
      <w:t xml:space="preserve">y property of </w:t>
    </w:r>
    <w:r w:rsidR="00857F2F">
      <w:rPr>
        <w:rFonts w:ascii="Arial Narrow" w:hAnsi="Arial Narrow"/>
        <w:color w:val="595959"/>
        <w:sz w:val="16"/>
        <w:szCs w:val="16"/>
      </w:rPr>
      <w:t>Accredo-Health Group</w:t>
    </w:r>
    <w:r w:rsidRPr="00B82133">
      <w:rPr>
        <w:rFonts w:ascii="Arial Narrow" w:hAnsi="Arial Narrow"/>
        <w:color w:val="595959"/>
        <w:sz w:val="16"/>
        <w:szCs w:val="16"/>
      </w:rPr>
      <w:t xml:space="preserve">, and all rights, titles and interests are vested in </w:t>
    </w:r>
    <w:r w:rsidR="00857F2F">
      <w:rPr>
        <w:rFonts w:ascii="Arial Narrow" w:hAnsi="Arial Narrow"/>
        <w:color w:val="595959"/>
        <w:sz w:val="16"/>
        <w:szCs w:val="16"/>
      </w:rPr>
      <w:t>Accredo</w:t>
    </w:r>
    <w:r w:rsidRPr="00B82133">
      <w:rPr>
        <w:rFonts w:ascii="Arial Narrow" w:hAnsi="Arial Narrow"/>
        <w:color w:val="595959"/>
        <w:sz w:val="16"/>
        <w:szCs w:val="16"/>
      </w:rPr>
      <w:t>. The Prop</w:t>
    </w:r>
    <w:r w:rsidR="00857F2F">
      <w:rPr>
        <w:rFonts w:ascii="Arial Narrow" w:hAnsi="Arial Narrow"/>
        <w:color w:val="595959"/>
        <w:sz w:val="16"/>
        <w:szCs w:val="16"/>
      </w:rPr>
      <w:t>osal Materials are provided to AHCCCS</w:t>
    </w:r>
    <w:r w:rsidRPr="00B82133">
      <w:rPr>
        <w:rFonts w:ascii="Arial Narrow" w:hAnsi="Arial Narrow"/>
        <w:color w:val="595959"/>
        <w:sz w:val="16"/>
        <w:szCs w:val="16"/>
      </w:rPr>
      <w:t xml:space="preserve"> for your exclusive use, and for the sole purpose, to evaluate </w:t>
    </w:r>
    <w:r w:rsidR="004556BC">
      <w:rPr>
        <w:rFonts w:ascii="Arial Narrow" w:hAnsi="Arial Narrow"/>
        <w:color w:val="595959"/>
        <w:sz w:val="16"/>
        <w:szCs w:val="16"/>
      </w:rPr>
      <w:t>Accredo’s</w:t>
    </w:r>
    <w:r w:rsidRPr="00B82133">
      <w:rPr>
        <w:rFonts w:ascii="Arial Narrow" w:hAnsi="Arial Narrow"/>
        <w:color w:val="595959"/>
        <w:sz w:val="16"/>
        <w:szCs w:val="16"/>
      </w:rPr>
      <w:t xml:space="preserve"> prescription drug program. The Proposal Materials may not be distributed, copied or made available for review or use to any other party. If you use any consultant or other party to review the Proposal Materials, you may divulge the Proposal Materials to them on the condition that each recipient agrees to be bound by the restrictions </w:t>
    </w:r>
    <w:r w:rsidR="00857F2F">
      <w:rPr>
        <w:rFonts w:ascii="Arial Narrow" w:hAnsi="Arial Narrow"/>
        <w:color w:val="595959"/>
        <w:sz w:val="16"/>
        <w:szCs w:val="16"/>
      </w:rPr>
      <w:t>Accredo-Health Group</w:t>
    </w:r>
    <w:r w:rsidRPr="00B82133">
      <w:rPr>
        <w:rFonts w:ascii="Arial Narrow" w:hAnsi="Arial Narrow"/>
        <w:color w:val="595959"/>
        <w:sz w:val="16"/>
        <w:szCs w:val="16"/>
      </w:rPr>
      <w:t xml:space="preserve"> has placed on the use and disclosure of the Proposal Materials. This disclaimer is applicable to any recipient assisting or participating in the evaluation of these P</w:t>
    </w:r>
    <w:r w:rsidR="00857F2F">
      <w:rPr>
        <w:rFonts w:ascii="Arial Narrow" w:hAnsi="Arial Narrow"/>
        <w:color w:val="595959"/>
        <w:sz w:val="16"/>
        <w:szCs w:val="16"/>
      </w:rPr>
      <w:t>roposal Materials on behalf of AHCCCS</w:t>
    </w:r>
    <w:r w:rsidRPr="00B82133">
      <w:rPr>
        <w:rFonts w:ascii="Arial Narrow" w:hAnsi="Arial Narrow"/>
        <w:color w:val="595959"/>
        <w:sz w:val="16"/>
        <w:szCs w:val="16"/>
      </w:rPr>
      <w:t>.</w:t>
    </w:r>
  </w:p>
  <w:p w14:paraId="70E6D428" w14:textId="77777777" w:rsidR="00E52929" w:rsidRDefault="00E52929" w:rsidP="00E52929">
    <w:pPr>
      <w:jc w:val="center"/>
    </w:pPr>
    <w:r w:rsidRPr="00B82133">
      <w:rPr>
        <w:rFonts w:ascii="Arial Narrow" w:hAnsi="Arial Narrow"/>
        <w:b/>
        <w:bCs/>
        <w:color w:val="595959"/>
        <w:sz w:val="16"/>
        <w:szCs w:val="16"/>
      </w:rPr>
      <w:t xml:space="preserve">© </w:t>
    </w:r>
    <w:r w:rsidR="00A52104">
      <w:rPr>
        <w:rFonts w:ascii="Arial Narrow" w:hAnsi="Arial Narrow"/>
        <w:b/>
        <w:bCs/>
        <w:color w:val="595959"/>
        <w:sz w:val="16"/>
        <w:szCs w:val="16"/>
      </w:rPr>
      <w:t>2023</w:t>
    </w:r>
    <w:r w:rsidRPr="00B82133">
      <w:rPr>
        <w:rFonts w:ascii="Arial Narrow" w:hAnsi="Arial Narrow"/>
        <w:b/>
        <w:bCs/>
        <w:color w:val="595959"/>
        <w:sz w:val="16"/>
        <w:szCs w:val="16"/>
      </w:rPr>
      <w:t xml:space="preserve"> </w:t>
    </w:r>
    <w:r w:rsidR="00857F2F">
      <w:rPr>
        <w:rFonts w:ascii="Arial Narrow" w:hAnsi="Arial Narrow"/>
        <w:b/>
        <w:bCs/>
        <w:color w:val="595959"/>
        <w:sz w:val="16"/>
        <w:szCs w:val="16"/>
      </w:rPr>
      <w:t>Accredo-Health Group</w:t>
    </w:r>
    <w:r w:rsidRPr="00B82133">
      <w:rPr>
        <w:rFonts w:ascii="Arial Narrow" w:hAnsi="Arial Narrow"/>
        <w:b/>
        <w:bCs/>
        <w:color w:val="595959"/>
        <w:sz w:val="16"/>
        <w:szCs w:val="16"/>
      </w:rPr>
      <w:t>. All Rights Reserved.</w:t>
    </w:r>
    <w:r w:rsidRPr="00E52929">
      <w:rPr>
        <w:noProof/>
      </w:rPr>
      <w:t xml:space="preserve"> </w:t>
    </w:r>
    <w:r>
      <w:rPr>
        <w:noProof/>
      </w:rPr>
      <mc:AlternateContent>
        <mc:Choice Requires="wps">
          <w:drawing>
            <wp:anchor distT="0" distB="0" distL="114300" distR="114300" simplePos="0" relativeHeight="251689984" behindDoc="0" locked="0" layoutInCell="1" allowOverlap="1" wp14:anchorId="298ACE8B" wp14:editId="4D2275F3">
              <wp:simplePos x="0" y="0"/>
              <wp:positionH relativeFrom="page">
                <wp:posOffset>6899275</wp:posOffset>
              </wp:positionH>
              <wp:positionV relativeFrom="page">
                <wp:posOffset>9616440</wp:posOffset>
              </wp:positionV>
              <wp:extent cx="325120" cy="201930"/>
              <wp:effectExtent l="3175" t="0" r="0" b="1905"/>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2DA59" w14:textId="77777777" w:rsidR="00E52929" w:rsidRPr="004633CB" w:rsidRDefault="00E52929" w:rsidP="00E52929">
                          <w:pPr>
                            <w:pStyle w:val="FooterPage"/>
                          </w:pPr>
                          <w:r>
                            <w:fldChar w:fldCharType="begin"/>
                          </w:r>
                          <w:r>
                            <w:instrText xml:space="preserve"> PAGE   \* MERGEFORMAT </w:instrText>
                          </w:r>
                          <w:r>
                            <w:fldChar w:fldCharType="separate"/>
                          </w:r>
                          <w:r w:rsidR="009E1DF6">
                            <w:rPr>
                              <w:noProof/>
                            </w:rPr>
                            <w:t>1</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ACE8B" id="_x0000_t202" coordsize="21600,21600" o:spt="202" path="m,l,21600r21600,l21600,xe">
              <v:stroke joinstyle="miter"/>
              <v:path gradientshapeok="t" o:connecttype="rect"/>
            </v:shapetype>
            <v:shape id="_x0000_s1027" type="#_x0000_t202" style="position:absolute;left:0;text-align:left;margin-left:543.25pt;margin-top:757.2pt;width:25.6pt;height:15.9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qsx1gEAAJcDAAAOAAAAZHJzL2Uyb0RvYy54bWysU9uO0zAQfUfiHyy/07RdgSBqulp2tQhp&#10;uUgLH+A6dmKReMyM26R8PWMn6XJ5Q7xY4xn7+Jwz49312HfiZJAc+EpuVmspjNdQO99U8uuX+xev&#10;paCofK068KaSZ0Pyev/82W4IpdlCC11tUDCIp3IIlWxjDGVRkG5Nr2gFwXguWsBeRd5iU9SoBkbv&#10;u2K7Xr8qBsA6IGhDxNm7qSj3Gd9ao+Mna8lE0VWSucW8Yl4PaS32O1U2qELr9ExD/QOLXjnPj16g&#10;7lRU4ojuL6jeaQQCG1ca+gKsddpkDaxms/5DzWOrgsla2BwKF5vo/8Hqj6fH8BlFHN/CyA3MIig8&#10;gP5GwsNtq3xjbhBhaI2q+eFNsqwYApXz1WQ1lZRADsMHqLnJ6hghA40W++QK6xSMzg04X0w3YxSa&#10;k1fbl5stVzSX2IM3V7kphSqXywEpvjPQixRUErmnGVydHigmMqpcjqS3PNy7rst97fxvCT6YMpl8&#10;4jsxj+NhFK6elSUtB6jPrAZhmhaebg5awB9SDDwplaTvR4VGiu69Z0fSWC0BLsFhCZTXfLWSUYop&#10;vI3T+B0DuqZl5MlzDzfsmnVZ0ROLmS53PwudJzWN16/7fOrpP+1/AgAA//8DAFBLAwQUAAYACAAA&#10;ACEAsDMaguMAAAAPAQAADwAAAGRycy9kb3ducmV2LnhtbEyPwU7DMBBE70j8g7VI3KiTkqYlxKkq&#10;BCckRBoOHJ3YTazG6xC7bfh7Nqdy29kdzb7Jt5Pt2VmP3jgUEC8iYBobpwy2Ar6qt4cNMB8kKtk7&#10;1AJ+tYdtcXuTy0y5C5b6vA8toxD0mRTQhTBknPum01b6hRs00u3gRisDybHlapQXCrc9X0ZRyq00&#10;SB86OeiXTjfH/ckK2H1j+Wp+PurP8lCaqnqK8D09CnF/N+2egQU9hasZZnxCh4KYandC5VlPOtqk&#10;K/LStIqTBNjsiR/Xa2D1vEvSJfAi5/97FH8AAAD//wMAUEsBAi0AFAAGAAgAAAAhALaDOJL+AAAA&#10;4QEAABMAAAAAAAAAAAAAAAAAAAAAAFtDb250ZW50X1R5cGVzXS54bWxQSwECLQAUAAYACAAAACEA&#10;OP0h/9YAAACUAQAACwAAAAAAAAAAAAAAAAAvAQAAX3JlbHMvLnJlbHNQSwECLQAUAAYACAAAACEA&#10;MKKrMdYBAACXAwAADgAAAAAAAAAAAAAAAAAuAgAAZHJzL2Uyb0RvYy54bWxQSwECLQAUAAYACAAA&#10;ACEAsDMaguMAAAAPAQAADwAAAAAAAAAAAAAAAAAwBAAAZHJzL2Rvd25yZXYueG1sUEsFBgAAAAAE&#10;AAQA8wAAAEAFAAAAAA==&#10;" filled="f" stroked="f">
              <v:textbox inset="0,0,0,0">
                <w:txbxContent>
                  <w:p w14:paraId="70E2DA59" w14:textId="77777777" w:rsidR="00E52929" w:rsidRPr="004633CB" w:rsidRDefault="00E52929" w:rsidP="00E52929">
                    <w:pPr>
                      <w:pStyle w:val="FooterPage"/>
                    </w:pPr>
                    <w:r>
                      <w:fldChar w:fldCharType="begin"/>
                    </w:r>
                    <w:r>
                      <w:instrText xml:space="preserve"> PAGE   \* MERGEFORMAT </w:instrText>
                    </w:r>
                    <w:r>
                      <w:fldChar w:fldCharType="separate"/>
                    </w:r>
                    <w:r w:rsidR="009E1DF6">
                      <w:rPr>
                        <w:noProof/>
                      </w:rPr>
                      <w:t>1</w:t>
                    </w:r>
                    <w:r>
                      <w:rPr>
                        <w:noProof/>
                      </w:rPr>
                      <w:fldChar w:fldCharType="end"/>
                    </w:r>
                  </w:p>
                </w:txbxContent>
              </v:textbox>
              <w10:wrap anchorx="page" anchory="page"/>
            </v:shape>
          </w:pict>
        </mc:Fallback>
      </mc:AlternateContent>
    </w:r>
  </w:p>
  <w:p w14:paraId="6265FD30" w14:textId="77777777" w:rsidR="008E6A61" w:rsidRPr="00E52929" w:rsidRDefault="008E6A61" w:rsidP="00E529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8439E" w14:textId="77777777" w:rsidR="00C45A23" w:rsidRDefault="00C45A23" w:rsidP="007661F3">
      <w:r>
        <w:separator/>
      </w:r>
    </w:p>
  </w:footnote>
  <w:footnote w:type="continuationSeparator" w:id="0">
    <w:p w14:paraId="498BC852" w14:textId="77777777" w:rsidR="00C45A23" w:rsidRDefault="00C45A23" w:rsidP="00766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9760" w14:textId="77777777" w:rsidR="00983171" w:rsidRDefault="00983171">
    <w:pPr>
      <w:pStyle w:val="Header"/>
    </w:pPr>
    <w:r>
      <w:rPr>
        <w:noProof/>
      </w:rPr>
      <mc:AlternateContent>
        <mc:Choice Requires="wps">
          <w:drawing>
            <wp:anchor distT="0" distB="0" distL="114300" distR="114300" simplePos="0" relativeHeight="251694080" behindDoc="0" locked="0" layoutInCell="1" allowOverlap="1" wp14:anchorId="7F796428" wp14:editId="6F043D14">
              <wp:simplePos x="0" y="0"/>
              <wp:positionH relativeFrom="column">
                <wp:posOffset>-399415</wp:posOffset>
              </wp:positionH>
              <wp:positionV relativeFrom="paragraph">
                <wp:posOffset>-167640</wp:posOffset>
              </wp:positionV>
              <wp:extent cx="7219950" cy="118745"/>
              <wp:effectExtent l="0" t="0" r="0" b="0"/>
              <wp:wrapNone/>
              <wp:docPr id="2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0" cy="118745"/>
                      </a:xfrm>
                      <a:prstGeom prst="rect">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sl="http://schemas.openxmlformats.org/schemaLibrary/2006/main"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16="http://schemas.microsoft.com/office/drawing/2014/chart" xmlns:dgm1611="http://schemas.microsoft.com/office/drawing/2016/11/diagram" xmlns:c173="http://schemas.microsoft.com/office/drawing/2017/03/chart" xmlns:an18="http://schemas.microsoft.com/office/drawing/2018/animation" xmlns:anam3d="http://schemas.microsoft.com/office/drawing/2018/animation/model3d" xmlns:iact="http://schemas.microsoft.com/office/powerpoint/2014/inkAction" xmlns:thm15="http://schemas.microsoft.com/office/thememl/2012/main"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ict>
            <v:rect style="position:absolute;margin-left:-31.45pt;margin-top:-13.2pt;width:568.5pt;height:9.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id="Rectangle 8" o:spid="_x0000_s1026" stroked="f" fillcolor="#15a4a7 [320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7CC2"/>
    <w:multiLevelType w:val="multilevel"/>
    <w:tmpl w:val="037E3964"/>
    <w:numStyleLink w:val="BulletsStyle"/>
  </w:abstractNum>
  <w:abstractNum w:abstractNumId="1" w15:restartNumberingAfterBreak="0">
    <w:nsid w:val="050B1D9D"/>
    <w:multiLevelType w:val="hybridMultilevel"/>
    <w:tmpl w:val="BF2EC30E"/>
    <w:lvl w:ilvl="0" w:tplc="657CA7AC">
      <w:start w:val="1"/>
      <w:numFmt w:val="bullet"/>
      <w:lvlText w:val=""/>
      <w:lvlJc w:val="left"/>
      <w:pPr>
        <w:ind w:left="1800" w:hanging="360"/>
      </w:pPr>
      <w:rPr>
        <w:rFonts w:ascii="Symbol" w:hAnsi="Symbol" w:hint="default"/>
        <w:color w:val="0F7A7C" w:themeColor="text2" w:themeShade="BF"/>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9B42DE"/>
    <w:multiLevelType w:val="multilevel"/>
    <w:tmpl w:val="FC20EDDA"/>
    <w:lvl w:ilvl="0">
      <w:start w:val="1"/>
      <w:numFmt w:val="bullet"/>
      <w:lvlText w:val=""/>
      <w:lvlJc w:val="left"/>
      <w:pPr>
        <w:tabs>
          <w:tab w:val="num" w:pos="432"/>
        </w:tabs>
        <w:ind w:left="216" w:hanging="216"/>
      </w:pPr>
      <w:rPr>
        <w:rFonts w:ascii="Symbol" w:hAnsi="Symbol" w:hint="default"/>
        <w:color w:val="15A4A7" w:themeColor="accent1"/>
        <w:sz w:val="20"/>
      </w:rPr>
    </w:lvl>
    <w:lvl w:ilvl="1">
      <w:start w:val="1"/>
      <w:numFmt w:val="bullet"/>
      <w:lvlText w:val=""/>
      <w:lvlJc w:val="left"/>
      <w:pPr>
        <w:tabs>
          <w:tab w:val="num" w:pos="864"/>
        </w:tabs>
        <w:ind w:left="648" w:hanging="216"/>
      </w:pPr>
      <w:rPr>
        <w:rFonts w:ascii="Symbol" w:hAnsi="Symbol" w:hint="default"/>
        <w:color w:val="15A4A7" w:themeColor="accent1"/>
        <w:sz w:val="20"/>
      </w:rPr>
    </w:lvl>
    <w:lvl w:ilvl="2">
      <w:start w:val="1"/>
      <w:numFmt w:val="bullet"/>
      <w:lvlText w:val=""/>
      <w:lvlJc w:val="left"/>
      <w:pPr>
        <w:tabs>
          <w:tab w:val="num" w:pos="1296"/>
        </w:tabs>
        <w:ind w:left="1080" w:hanging="216"/>
      </w:pPr>
      <w:rPr>
        <w:rFonts w:ascii="Symbol" w:hAnsi="Symbol" w:hint="default"/>
        <w:color w:val="15A4A7" w:themeColor="accent1"/>
        <w:sz w:val="20"/>
      </w:rPr>
    </w:lvl>
    <w:lvl w:ilvl="3">
      <w:start w:val="1"/>
      <w:numFmt w:val="bullet"/>
      <w:lvlText w:val=""/>
      <w:lvlJc w:val="left"/>
      <w:pPr>
        <w:tabs>
          <w:tab w:val="num" w:pos="1728"/>
        </w:tabs>
        <w:ind w:left="1512" w:hanging="216"/>
      </w:pPr>
      <w:rPr>
        <w:rFonts w:ascii="Symbol" w:hAnsi="Symbol" w:hint="default"/>
        <w:color w:val="15A4A7" w:themeColor="accent1"/>
        <w:sz w:val="20"/>
      </w:rPr>
    </w:lvl>
    <w:lvl w:ilvl="4">
      <w:start w:val="1"/>
      <w:numFmt w:val="bullet"/>
      <w:lvlText w:val="o"/>
      <w:lvlJc w:val="left"/>
      <w:pPr>
        <w:ind w:left="4896" w:hanging="360"/>
      </w:pPr>
      <w:rPr>
        <w:rFonts w:ascii="Courier New" w:hAnsi="Courier New" w:hint="default"/>
      </w:rPr>
    </w:lvl>
    <w:lvl w:ilvl="5">
      <w:start w:val="1"/>
      <w:numFmt w:val="bullet"/>
      <w:lvlText w:val=""/>
      <w:lvlJc w:val="left"/>
      <w:pPr>
        <w:ind w:left="5616" w:hanging="360"/>
      </w:pPr>
      <w:rPr>
        <w:rFonts w:ascii="Wingdings" w:hAnsi="Wingdings" w:hint="default"/>
      </w:rPr>
    </w:lvl>
    <w:lvl w:ilvl="6">
      <w:start w:val="1"/>
      <w:numFmt w:val="bullet"/>
      <w:lvlText w:val=""/>
      <w:lvlJc w:val="left"/>
      <w:pPr>
        <w:ind w:left="6336" w:hanging="360"/>
      </w:pPr>
      <w:rPr>
        <w:rFonts w:ascii="Symbol" w:hAnsi="Symbol" w:hint="default"/>
      </w:rPr>
    </w:lvl>
    <w:lvl w:ilvl="7">
      <w:start w:val="1"/>
      <w:numFmt w:val="bullet"/>
      <w:lvlText w:val="o"/>
      <w:lvlJc w:val="left"/>
      <w:pPr>
        <w:ind w:left="7056" w:hanging="360"/>
      </w:pPr>
      <w:rPr>
        <w:rFonts w:ascii="Courier New" w:hAnsi="Courier New" w:cs="Courier New" w:hint="default"/>
      </w:rPr>
    </w:lvl>
    <w:lvl w:ilvl="8">
      <w:start w:val="1"/>
      <w:numFmt w:val="bullet"/>
      <w:lvlText w:val=""/>
      <w:lvlJc w:val="left"/>
      <w:pPr>
        <w:ind w:left="7776" w:hanging="360"/>
      </w:pPr>
      <w:rPr>
        <w:rFonts w:ascii="Wingdings" w:hAnsi="Wingdings" w:hint="default"/>
      </w:rPr>
    </w:lvl>
  </w:abstractNum>
  <w:abstractNum w:abstractNumId="3" w15:restartNumberingAfterBreak="0">
    <w:nsid w:val="08F95914"/>
    <w:multiLevelType w:val="multilevel"/>
    <w:tmpl w:val="037E3964"/>
    <w:numStyleLink w:val="BulletsStyle"/>
  </w:abstractNum>
  <w:abstractNum w:abstractNumId="4" w15:restartNumberingAfterBreak="0">
    <w:nsid w:val="08FF51E3"/>
    <w:multiLevelType w:val="hybridMultilevel"/>
    <w:tmpl w:val="458ED916"/>
    <w:lvl w:ilvl="0" w:tplc="9586E13C">
      <w:start w:val="1"/>
      <w:numFmt w:val="bullet"/>
      <w:pStyle w:val="ListParagraph"/>
      <w:lvlText w:val=""/>
      <w:lvlJc w:val="left"/>
      <w:pPr>
        <w:ind w:left="360" w:hanging="360"/>
      </w:pPr>
      <w:rPr>
        <w:rFonts w:ascii="Symbol" w:hAnsi="Symbol" w:hint="default"/>
        <w:color w:val="0F7A7C" w:themeColor="text2" w:themeShade="B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B1BCE"/>
    <w:multiLevelType w:val="multilevel"/>
    <w:tmpl w:val="037E3964"/>
    <w:numStyleLink w:val="BulletsStyle"/>
  </w:abstractNum>
  <w:abstractNum w:abstractNumId="6" w15:restartNumberingAfterBreak="0">
    <w:nsid w:val="134E3F27"/>
    <w:multiLevelType w:val="multilevel"/>
    <w:tmpl w:val="FE968D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E93276"/>
    <w:multiLevelType w:val="hybridMultilevel"/>
    <w:tmpl w:val="23CC9F1C"/>
    <w:lvl w:ilvl="0" w:tplc="9D5083C8">
      <w:start w:val="1"/>
      <w:numFmt w:val="bullet"/>
      <w:lvlText w:val=""/>
      <w:lvlJc w:val="left"/>
      <w:pPr>
        <w:ind w:left="1440" w:hanging="360"/>
      </w:pPr>
      <w:rPr>
        <w:rFonts w:ascii="Symbol" w:hAnsi="Symbol" w:hint="default"/>
        <w:color w:val="0F7A7C" w:themeColor="text2" w:themeShade="BF"/>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6D33C0"/>
    <w:multiLevelType w:val="hybridMultilevel"/>
    <w:tmpl w:val="33C6B12E"/>
    <w:lvl w:ilvl="0" w:tplc="4E54771E">
      <w:start w:val="1"/>
      <w:numFmt w:val="bullet"/>
      <w:lvlText w:val=""/>
      <w:lvlJc w:val="left"/>
      <w:pPr>
        <w:ind w:left="360" w:hanging="360"/>
      </w:pPr>
      <w:rPr>
        <w:rFonts w:ascii="Symbol" w:hAnsi="Symbol" w:hint="default"/>
        <w:b/>
        <w:bCs/>
        <w:i w:val="0"/>
        <w:iCs w:val="0"/>
        <w:color w:val="0F7A7C"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AE6C75"/>
    <w:multiLevelType w:val="hybridMultilevel"/>
    <w:tmpl w:val="4C0E3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D3EC0"/>
    <w:multiLevelType w:val="hybridMultilevel"/>
    <w:tmpl w:val="061EEFA6"/>
    <w:lvl w:ilvl="0" w:tplc="4E54771E">
      <w:start w:val="1"/>
      <w:numFmt w:val="bullet"/>
      <w:lvlText w:val=""/>
      <w:lvlJc w:val="left"/>
      <w:pPr>
        <w:ind w:left="360" w:hanging="360"/>
      </w:pPr>
      <w:rPr>
        <w:rFonts w:ascii="Symbol" w:hAnsi="Symbol" w:hint="default"/>
        <w:b/>
        <w:bCs/>
        <w:i w:val="0"/>
        <w:iCs w:val="0"/>
        <w:color w:val="0F7A7C"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F73FE3"/>
    <w:multiLevelType w:val="multilevel"/>
    <w:tmpl w:val="CB762896"/>
    <w:lvl w:ilvl="0">
      <w:start w:val="1"/>
      <w:numFmt w:val="bullet"/>
      <w:lvlText w:val=""/>
      <w:lvlJc w:val="left"/>
      <w:pPr>
        <w:tabs>
          <w:tab w:val="num" w:pos="216"/>
        </w:tabs>
        <w:ind w:left="216" w:firstLine="0"/>
      </w:pPr>
      <w:rPr>
        <w:rFonts w:ascii="Wingdings" w:hAnsi="Wingdings" w:hint="default"/>
        <w:color w:val="15A4A7" w:themeColor="accent1"/>
        <w:sz w:val="18"/>
      </w:rPr>
    </w:lvl>
    <w:lvl w:ilvl="1">
      <w:start w:val="1"/>
      <w:numFmt w:val="bullet"/>
      <w:lvlText w:val=""/>
      <w:lvlJc w:val="left"/>
      <w:pPr>
        <w:tabs>
          <w:tab w:val="num" w:pos="648"/>
        </w:tabs>
        <w:ind w:left="648" w:firstLine="0"/>
      </w:pPr>
      <w:rPr>
        <w:rFonts w:ascii="Wingdings" w:hAnsi="Wingdings" w:hint="default"/>
        <w:color w:val="15A4A7" w:themeColor="accent1"/>
      </w:rPr>
    </w:lvl>
    <w:lvl w:ilvl="2">
      <w:start w:val="1"/>
      <w:numFmt w:val="bullet"/>
      <w:lvlText w:val=""/>
      <w:lvlJc w:val="left"/>
      <w:pPr>
        <w:tabs>
          <w:tab w:val="num" w:pos="1080"/>
        </w:tabs>
        <w:ind w:left="1080" w:firstLine="0"/>
      </w:pPr>
      <w:rPr>
        <w:rFonts w:ascii="Wingdings" w:hAnsi="Wingdings" w:hint="default"/>
        <w:color w:val="15A4A7" w:themeColor="accent1"/>
      </w:rPr>
    </w:lvl>
    <w:lvl w:ilvl="3">
      <w:start w:val="1"/>
      <w:numFmt w:val="bullet"/>
      <w:lvlText w:val=""/>
      <w:lvlJc w:val="left"/>
      <w:pPr>
        <w:tabs>
          <w:tab w:val="num" w:pos="1512"/>
        </w:tabs>
        <w:ind w:left="1512" w:firstLine="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C82F47"/>
    <w:multiLevelType w:val="hybridMultilevel"/>
    <w:tmpl w:val="C0063D6E"/>
    <w:lvl w:ilvl="0" w:tplc="175A3950">
      <w:start w:val="1"/>
      <w:numFmt w:val="bullet"/>
      <w:pStyle w:val="DB2"/>
      <w:lvlText w:val=""/>
      <w:lvlJc w:val="left"/>
      <w:pPr>
        <w:ind w:left="720" w:hanging="360"/>
      </w:pPr>
      <w:rPr>
        <w:rFonts w:ascii="Symbol" w:hAnsi="Symbol" w:hint="default"/>
        <w:b/>
        <w:bCs/>
        <w:i w:val="0"/>
        <w:iCs w:val="0"/>
        <w:caps w:val="0"/>
        <w:strike w:val="0"/>
        <w:dstrike w:val="0"/>
        <w:vanish w:val="0"/>
        <w:color w:val="15A4A7" w:themeColor="accent1"/>
        <w:vertAlign w:val="baseline"/>
      </w:rPr>
    </w:lvl>
    <w:lvl w:ilvl="1" w:tplc="FECC7582">
      <w:start w:val="1"/>
      <w:numFmt w:val="bullet"/>
      <w:pStyle w:val="DB3"/>
      <w:lvlText w:val="·"/>
      <w:lvlJc w:val="left"/>
      <w:pPr>
        <w:ind w:left="1800" w:hanging="360"/>
      </w:pPr>
      <w:rPr>
        <w:rFonts w:ascii="Symbol" w:hAnsi="Symbol" w:hint="default"/>
        <w:color w:val="009BDF" w:themeColor="accent3"/>
        <w:u w:color="808080" w:themeColor="background1" w:themeShade="80"/>
      </w:rPr>
    </w:lvl>
    <w:lvl w:ilvl="2" w:tplc="1DB87746">
      <w:start w:val="1"/>
      <w:numFmt w:val="bullet"/>
      <w:pStyle w:val="DB4"/>
      <w:lvlText w:val="·"/>
      <w:lvlJc w:val="left"/>
      <w:pPr>
        <w:ind w:left="1620" w:hanging="360"/>
      </w:pPr>
      <w:rPr>
        <w:rFonts w:ascii="Symbol" w:hAnsi="Symbol" w:hint="default"/>
        <w:color w:val="8CDBFF" w:themeColor="accent3" w:themeTint="66"/>
        <w:u w:color="808080" w:themeColor="background1" w:themeShade="8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5D7209"/>
    <w:multiLevelType w:val="hybridMultilevel"/>
    <w:tmpl w:val="83FE33D4"/>
    <w:lvl w:ilvl="0" w:tplc="A1663924">
      <w:start w:val="1"/>
      <w:numFmt w:val="bullet"/>
      <w:lvlText w:val=""/>
      <w:lvlJc w:val="left"/>
      <w:pPr>
        <w:ind w:left="1080" w:hanging="360"/>
      </w:pPr>
      <w:rPr>
        <w:rFonts w:ascii="Symbol" w:hAnsi="Symbol" w:hint="default"/>
        <w:color w:val="0F7A7C"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7361C"/>
    <w:multiLevelType w:val="hybridMultilevel"/>
    <w:tmpl w:val="429CC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45732"/>
    <w:multiLevelType w:val="hybridMultilevel"/>
    <w:tmpl w:val="D9E0F3F6"/>
    <w:lvl w:ilvl="0" w:tplc="4E54771E">
      <w:start w:val="1"/>
      <w:numFmt w:val="bullet"/>
      <w:lvlText w:val=""/>
      <w:lvlJc w:val="left"/>
      <w:pPr>
        <w:ind w:left="360" w:hanging="360"/>
      </w:pPr>
      <w:rPr>
        <w:rFonts w:ascii="Symbol" w:hAnsi="Symbol" w:hint="default"/>
        <w:b/>
        <w:bCs/>
        <w:i w:val="0"/>
        <w:iCs w:val="0"/>
        <w:color w:val="0F7A7C"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383231"/>
    <w:multiLevelType w:val="hybridMultilevel"/>
    <w:tmpl w:val="8F0893EE"/>
    <w:lvl w:ilvl="0" w:tplc="4E54771E">
      <w:start w:val="1"/>
      <w:numFmt w:val="bullet"/>
      <w:lvlText w:val=""/>
      <w:lvlJc w:val="left"/>
      <w:pPr>
        <w:ind w:left="-1800" w:hanging="360"/>
      </w:pPr>
      <w:rPr>
        <w:rFonts w:ascii="Symbol" w:hAnsi="Symbol" w:hint="default"/>
        <w:b/>
        <w:bCs/>
        <w:i w:val="0"/>
        <w:iCs w:val="0"/>
        <w:color w:val="0F7A7C" w:themeColor="text2" w:themeShade="BF"/>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7" w15:restartNumberingAfterBreak="0">
    <w:nsid w:val="3F3E6420"/>
    <w:multiLevelType w:val="hybridMultilevel"/>
    <w:tmpl w:val="EB34D458"/>
    <w:lvl w:ilvl="0" w:tplc="4E54771E">
      <w:start w:val="1"/>
      <w:numFmt w:val="bullet"/>
      <w:lvlText w:val=""/>
      <w:lvlJc w:val="left"/>
      <w:pPr>
        <w:ind w:left="360" w:hanging="360"/>
      </w:pPr>
      <w:rPr>
        <w:rFonts w:ascii="Symbol" w:hAnsi="Symbol" w:hint="default"/>
        <w:b/>
        <w:bCs/>
        <w:i w:val="0"/>
        <w:iCs w:val="0"/>
        <w:color w:val="0F7A7C"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BE7C86"/>
    <w:multiLevelType w:val="hybridMultilevel"/>
    <w:tmpl w:val="FAD0BA3E"/>
    <w:lvl w:ilvl="0" w:tplc="4E54771E">
      <w:start w:val="1"/>
      <w:numFmt w:val="bullet"/>
      <w:lvlText w:val=""/>
      <w:lvlJc w:val="left"/>
      <w:pPr>
        <w:ind w:left="-990" w:hanging="360"/>
      </w:pPr>
      <w:rPr>
        <w:rFonts w:ascii="Symbol" w:hAnsi="Symbol" w:hint="default"/>
        <w:b/>
        <w:bCs/>
        <w:i w:val="0"/>
        <w:iCs w:val="0"/>
        <w:color w:val="0F7A7C" w:themeColor="text2" w:themeShade="BF"/>
      </w:rPr>
    </w:lvl>
    <w:lvl w:ilvl="1" w:tplc="04090003" w:tentative="1">
      <w:start w:val="1"/>
      <w:numFmt w:val="bullet"/>
      <w:lvlText w:val="o"/>
      <w:lvlJc w:val="left"/>
      <w:pPr>
        <w:ind w:left="90" w:hanging="360"/>
      </w:pPr>
      <w:rPr>
        <w:rFonts w:ascii="Courier New" w:hAnsi="Courier New" w:hint="default"/>
      </w:rPr>
    </w:lvl>
    <w:lvl w:ilvl="2" w:tplc="04090005" w:tentative="1">
      <w:start w:val="1"/>
      <w:numFmt w:val="bullet"/>
      <w:lvlText w:val=""/>
      <w:lvlJc w:val="left"/>
      <w:pPr>
        <w:ind w:left="810" w:hanging="360"/>
      </w:pPr>
      <w:rPr>
        <w:rFonts w:ascii="Wingdings" w:hAnsi="Wingdings" w:hint="default"/>
      </w:rPr>
    </w:lvl>
    <w:lvl w:ilvl="3" w:tplc="04090001" w:tentative="1">
      <w:start w:val="1"/>
      <w:numFmt w:val="bullet"/>
      <w:lvlText w:val=""/>
      <w:lvlJc w:val="left"/>
      <w:pPr>
        <w:ind w:left="1530" w:hanging="360"/>
      </w:pPr>
      <w:rPr>
        <w:rFonts w:ascii="Symbol" w:hAnsi="Symbol" w:hint="default"/>
      </w:rPr>
    </w:lvl>
    <w:lvl w:ilvl="4" w:tplc="04090003" w:tentative="1">
      <w:start w:val="1"/>
      <w:numFmt w:val="bullet"/>
      <w:lvlText w:val="o"/>
      <w:lvlJc w:val="left"/>
      <w:pPr>
        <w:ind w:left="2250" w:hanging="360"/>
      </w:pPr>
      <w:rPr>
        <w:rFonts w:ascii="Courier New" w:hAnsi="Courier New" w:hint="default"/>
      </w:rPr>
    </w:lvl>
    <w:lvl w:ilvl="5" w:tplc="04090005" w:tentative="1">
      <w:start w:val="1"/>
      <w:numFmt w:val="bullet"/>
      <w:lvlText w:val=""/>
      <w:lvlJc w:val="left"/>
      <w:pPr>
        <w:ind w:left="2970" w:hanging="360"/>
      </w:pPr>
      <w:rPr>
        <w:rFonts w:ascii="Wingdings" w:hAnsi="Wingdings" w:hint="default"/>
      </w:rPr>
    </w:lvl>
    <w:lvl w:ilvl="6" w:tplc="04090001" w:tentative="1">
      <w:start w:val="1"/>
      <w:numFmt w:val="bullet"/>
      <w:lvlText w:val=""/>
      <w:lvlJc w:val="left"/>
      <w:pPr>
        <w:ind w:left="3690" w:hanging="360"/>
      </w:pPr>
      <w:rPr>
        <w:rFonts w:ascii="Symbol" w:hAnsi="Symbol" w:hint="default"/>
      </w:rPr>
    </w:lvl>
    <w:lvl w:ilvl="7" w:tplc="04090003" w:tentative="1">
      <w:start w:val="1"/>
      <w:numFmt w:val="bullet"/>
      <w:lvlText w:val="o"/>
      <w:lvlJc w:val="left"/>
      <w:pPr>
        <w:ind w:left="4410" w:hanging="360"/>
      </w:pPr>
      <w:rPr>
        <w:rFonts w:ascii="Courier New" w:hAnsi="Courier New" w:hint="default"/>
      </w:rPr>
    </w:lvl>
    <w:lvl w:ilvl="8" w:tplc="04090005" w:tentative="1">
      <w:start w:val="1"/>
      <w:numFmt w:val="bullet"/>
      <w:lvlText w:val=""/>
      <w:lvlJc w:val="left"/>
      <w:pPr>
        <w:ind w:left="5130" w:hanging="360"/>
      </w:pPr>
      <w:rPr>
        <w:rFonts w:ascii="Wingdings" w:hAnsi="Wingdings" w:hint="default"/>
      </w:rPr>
    </w:lvl>
  </w:abstractNum>
  <w:abstractNum w:abstractNumId="19" w15:restartNumberingAfterBreak="0">
    <w:nsid w:val="4EF67CA0"/>
    <w:multiLevelType w:val="hybridMultilevel"/>
    <w:tmpl w:val="CBC85524"/>
    <w:lvl w:ilvl="0" w:tplc="4E54771E">
      <w:start w:val="1"/>
      <w:numFmt w:val="bullet"/>
      <w:lvlText w:val=""/>
      <w:lvlJc w:val="left"/>
      <w:pPr>
        <w:ind w:left="360" w:hanging="360"/>
      </w:pPr>
      <w:rPr>
        <w:rFonts w:ascii="Symbol" w:hAnsi="Symbol" w:hint="default"/>
        <w:b/>
        <w:bCs/>
        <w:i w:val="0"/>
        <w:iCs w:val="0"/>
        <w:color w:val="0F7A7C"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267BB0"/>
    <w:multiLevelType w:val="hybridMultilevel"/>
    <w:tmpl w:val="1954F3CE"/>
    <w:lvl w:ilvl="0" w:tplc="4E54771E">
      <w:start w:val="1"/>
      <w:numFmt w:val="bullet"/>
      <w:lvlText w:val=""/>
      <w:lvlJc w:val="left"/>
      <w:pPr>
        <w:ind w:left="720" w:hanging="360"/>
      </w:pPr>
      <w:rPr>
        <w:rFonts w:ascii="Symbol" w:hAnsi="Symbol" w:hint="default"/>
        <w:color w:val="0F7A7C" w:themeColor="text2" w:themeShade="B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A14A3"/>
    <w:multiLevelType w:val="hybridMultilevel"/>
    <w:tmpl w:val="AD5C0F6A"/>
    <w:lvl w:ilvl="0" w:tplc="1DE6526E">
      <w:start w:val="20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A283F"/>
    <w:multiLevelType w:val="hybridMultilevel"/>
    <w:tmpl w:val="5B0EB082"/>
    <w:lvl w:ilvl="0" w:tplc="8D92AF00">
      <w:start w:val="1"/>
      <w:numFmt w:val="bullet"/>
      <w:lvlText w:val=""/>
      <w:lvlJc w:val="left"/>
      <w:pPr>
        <w:ind w:left="720" w:hanging="360"/>
      </w:pPr>
      <w:rPr>
        <w:rFonts w:ascii="Wingdings" w:hAnsi="Wingdings" w:hint="default"/>
        <w:color w:val="15A4A7" w:themeColor="accent1"/>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E092C"/>
    <w:multiLevelType w:val="hybridMultilevel"/>
    <w:tmpl w:val="566CCDCE"/>
    <w:lvl w:ilvl="0" w:tplc="04DE2C44">
      <w:start w:val="1"/>
      <w:numFmt w:val="bullet"/>
      <w:pStyle w:val="DB1"/>
      <w:lvlText w:val=""/>
      <w:lvlJc w:val="left"/>
      <w:pPr>
        <w:ind w:left="360" w:hanging="360"/>
      </w:pPr>
      <w:rPr>
        <w:rFonts w:ascii="Symbol" w:hAnsi="Symbol" w:hint="default"/>
        <w:b/>
        <w:bCs/>
        <w:i w:val="0"/>
        <w:iCs w:val="0"/>
        <w:color w:val="F86C06" w:themeColor="accent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42305"/>
    <w:multiLevelType w:val="hybridMultilevel"/>
    <w:tmpl w:val="40206DB6"/>
    <w:lvl w:ilvl="0" w:tplc="D75A35D6">
      <w:start w:val="1"/>
      <w:numFmt w:val="bullet"/>
      <w:pStyle w:val="Bullets2"/>
      <w:lvlText w:val=""/>
      <w:lvlJc w:val="left"/>
      <w:pPr>
        <w:ind w:left="1080" w:hanging="360"/>
      </w:pPr>
      <w:rPr>
        <w:rFonts w:ascii="Symbol" w:hAnsi="Symbol" w:hint="default"/>
        <w:color w:val="009BDF" w:themeColor="accent3"/>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1F12B26"/>
    <w:multiLevelType w:val="multilevel"/>
    <w:tmpl w:val="037E3964"/>
    <w:styleLink w:val="BulletsStyle"/>
    <w:lvl w:ilvl="0">
      <w:start w:val="1"/>
      <w:numFmt w:val="bullet"/>
      <w:lvlText w:val=""/>
      <w:lvlJc w:val="left"/>
      <w:pPr>
        <w:tabs>
          <w:tab w:val="num" w:pos="432"/>
        </w:tabs>
        <w:ind w:left="216" w:hanging="216"/>
      </w:pPr>
      <w:rPr>
        <w:rFonts w:ascii="Symbol" w:hAnsi="Symbol" w:hint="default"/>
        <w:color w:val="15A4A7" w:themeColor="accent1"/>
        <w:sz w:val="20"/>
      </w:rPr>
    </w:lvl>
    <w:lvl w:ilvl="1">
      <w:start w:val="1"/>
      <w:numFmt w:val="bullet"/>
      <w:lvlText w:val=""/>
      <w:lvlJc w:val="left"/>
      <w:pPr>
        <w:tabs>
          <w:tab w:val="num" w:pos="864"/>
        </w:tabs>
        <w:ind w:left="648" w:hanging="216"/>
      </w:pPr>
      <w:rPr>
        <w:rFonts w:ascii="Symbol" w:hAnsi="Symbol" w:hint="default"/>
        <w:color w:val="15A4A7" w:themeColor="accent1"/>
        <w:sz w:val="20"/>
      </w:rPr>
    </w:lvl>
    <w:lvl w:ilvl="2">
      <w:start w:val="1"/>
      <w:numFmt w:val="bullet"/>
      <w:lvlText w:val=""/>
      <w:lvlJc w:val="left"/>
      <w:pPr>
        <w:tabs>
          <w:tab w:val="num" w:pos="1296"/>
        </w:tabs>
        <w:ind w:left="1080" w:hanging="216"/>
      </w:pPr>
      <w:rPr>
        <w:rFonts w:ascii="Symbol" w:hAnsi="Symbol" w:hint="default"/>
        <w:color w:val="15A4A7" w:themeColor="accent1"/>
        <w:sz w:val="20"/>
      </w:rPr>
    </w:lvl>
    <w:lvl w:ilvl="3">
      <w:start w:val="1"/>
      <w:numFmt w:val="bullet"/>
      <w:lvlText w:val=""/>
      <w:lvlJc w:val="left"/>
      <w:pPr>
        <w:tabs>
          <w:tab w:val="num" w:pos="1728"/>
        </w:tabs>
        <w:ind w:left="1512" w:hanging="216"/>
      </w:pPr>
      <w:rPr>
        <w:rFonts w:ascii="Symbol" w:hAnsi="Symbol" w:hint="default"/>
        <w:color w:val="15A4A7" w:themeColor="accent1"/>
        <w:sz w:val="20"/>
      </w:rPr>
    </w:lvl>
    <w:lvl w:ilvl="4">
      <w:start w:val="1"/>
      <w:numFmt w:val="bullet"/>
      <w:lvlText w:val="o"/>
      <w:lvlJc w:val="left"/>
      <w:pPr>
        <w:ind w:left="4896" w:hanging="360"/>
      </w:pPr>
      <w:rPr>
        <w:rFonts w:ascii="Courier New" w:hAnsi="Courier New" w:hint="default"/>
      </w:rPr>
    </w:lvl>
    <w:lvl w:ilvl="5">
      <w:start w:val="1"/>
      <w:numFmt w:val="bullet"/>
      <w:lvlText w:val=""/>
      <w:lvlJc w:val="left"/>
      <w:pPr>
        <w:ind w:left="5616" w:hanging="360"/>
      </w:pPr>
      <w:rPr>
        <w:rFonts w:ascii="Wingdings" w:hAnsi="Wingdings" w:hint="default"/>
      </w:rPr>
    </w:lvl>
    <w:lvl w:ilvl="6">
      <w:start w:val="1"/>
      <w:numFmt w:val="bullet"/>
      <w:lvlText w:val=""/>
      <w:lvlJc w:val="left"/>
      <w:pPr>
        <w:ind w:left="6336" w:hanging="360"/>
      </w:pPr>
      <w:rPr>
        <w:rFonts w:ascii="Symbol" w:hAnsi="Symbol" w:hint="default"/>
      </w:rPr>
    </w:lvl>
    <w:lvl w:ilvl="7">
      <w:start w:val="1"/>
      <w:numFmt w:val="bullet"/>
      <w:lvlText w:val="o"/>
      <w:lvlJc w:val="left"/>
      <w:pPr>
        <w:ind w:left="7056" w:hanging="360"/>
      </w:pPr>
      <w:rPr>
        <w:rFonts w:ascii="Courier New" w:hAnsi="Courier New" w:cs="Courier New" w:hint="default"/>
      </w:rPr>
    </w:lvl>
    <w:lvl w:ilvl="8">
      <w:start w:val="1"/>
      <w:numFmt w:val="bullet"/>
      <w:lvlText w:val=""/>
      <w:lvlJc w:val="left"/>
      <w:pPr>
        <w:ind w:left="7776" w:hanging="360"/>
      </w:pPr>
      <w:rPr>
        <w:rFonts w:ascii="Wingdings" w:hAnsi="Wingdings" w:hint="default"/>
      </w:rPr>
    </w:lvl>
  </w:abstractNum>
  <w:abstractNum w:abstractNumId="26" w15:restartNumberingAfterBreak="0">
    <w:nsid w:val="62FF2111"/>
    <w:multiLevelType w:val="hybridMultilevel"/>
    <w:tmpl w:val="7EAE427A"/>
    <w:lvl w:ilvl="0" w:tplc="4E54771E">
      <w:start w:val="1"/>
      <w:numFmt w:val="bullet"/>
      <w:lvlText w:val=""/>
      <w:lvlJc w:val="left"/>
      <w:pPr>
        <w:ind w:left="-15390" w:hanging="360"/>
      </w:pPr>
      <w:rPr>
        <w:rFonts w:ascii="Symbol" w:hAnsi="Symbol" w:hint="default"/>
        <w:b/>
        <w:bCs/>
        <w:i w:val="0"/>
        <w:iCs w:val="0"/>
        <w:color w:val="0F7A7C" w:themeColor="text2" w:themeShade="BF"/>
      </w:rPr>
    </w:lvl>
    <w:lvl w:ilvl="1" w:tplc="04090003" w:tentative="1">
      <w:start w:val="1"/>
      <w:numFmt w:val="bullet"/>
      <w:lvlText w:val="o"/>
      <w:lvlJc w:val="left"/>
      <w:pPr>
        <w:ind w:left="-14310" w:hanging="360"/>
      </w:pPr>
      <w:rPr>
        <w:rFonts w:ascii="Courier New" w:hAnsi="Courier New" w:hint="default"/>
      </w:rPr>
    </w:lvl>
    <w:lvl w:ilvl="2" w:tplc="04090005" w:tentative="1">
      <w:start w:val="1"/>
      <w:numFmt w:val="bullet"/>
      <w:lvlText w:val=""/>
      <w:lvlJc w:val="left"/>
      <w:pPr>
        <w:ind w:left="-13590" w:hanging="360"/>
      </w:pPr>
      <w:rPr>
        <w:rFonts w:ascii="Wingdings" w:hAnsi="Wingdings" w:hint="default"/>
      </w:rPr>
    </w:lvl>
    <w:lvl w:ilvl="3" w:tplc="04090001" w:tentative="1">
      <w:start w:val="1"/>
      <w:numFmt w:val="bullet"/>
      <w:lvlText w:val=""/>
      <w:lvlJc w:val="left"/>
      <w:pPr>
        <w:ind w:left="-12870" w:hanging="360"/>
      </w:pPr>
      <w:rPr>
        <w:rFonts w:ascii="Symbol" w:hAnsi="Symbol" w:hint="default"/>
      </w:rPr>
    </w:lvl>
    <w:lvl w:ilvl="4" w:tplc="04090003" w:tentative="1">
      <w:start w:val="1"/>
      <w:numFmt w:val="bullet"/>
      <w:lvlText w:val="o"/>
      <w:lvlJc w:val="left"/>
      <w:pPr>
        <w:ind w:left="-12150" w:hanging="360"/>
      </w:pPr>
      <w:rPr>
        <w:rFonts w:ascii="Courier New" w:hAnsi="Courier New" w:hint="default"/>
      </w:rPr>
    </w:lvl>
    <w:lvl w:ilvl="5" w:tplc="04090005" w:tentative="1">
      <w:start w:val="1"/>
      <w:numFmt w:val="bullet"/>
      <w:lvlText w:val=""/>
      <w:lvlJc w:val="left"/>
      <w:pPr>
        <w:ind w:left="-11430" w:hanging="360"/>
      </w:pPr>
      <w:rPr>
        <w:rFonts w:ascii="Wingdings" w:hAnsi="Wingdings" w:hint="default"/>
      </w:rPr>
    </w:lvl>
    <w:lvl w:ilvl="6" w:tplc="04090001" w:tentative="1">
      <w:start w:val="1"/>
      <w:numFmt w:val="bullet"/>
      <w:lvlText w:val=""/>
      <w:lvlJc w:val="left"/>
      <w:pPr>
        <w:ind w:left="-10710" w:hanging="360"/>
      </w:pPr>
      <w:rPr>
        <w:rFonts w:ascii="Symbol" w:hAnsi="Symbol" w:hint="default"/>
      </w:rPr>
    </w:lvl>
    <w:lvl w:ilvl="7" w:tplc="04090003" w:tentative="1">
      <w:start w:val="1"/>
      <w:numFmt w:val="bullet"/>
      <w:lvlText w:val="o"/>
      <w:lvlJc w:val="left"/>
      <w:pPr>
        <w:ind w:left="-9990" w:hanging="360"/>
      </w:pPr>
      <w:rPr>
        <w:rFonts w:ascii="Courier New" w:hAnsi="Courier New" w:hint="default"/>
      </w:rPr>
    </w:lvl>
    <w:lvl w:ilvl="8" w:tplc="04090005" w:tentative="1">
      <w:start w:val="1"/>
      <w:numFmt w:val="bullet"/>
      <w:lvlText w:val=""/>
      <w:lvlJc w:val="left"/>
      <w:pPr>
        <w:ind w:left="-9270" w:hanging="360"/>
      </w:pPr>
      <w:rPr>
        <w:rFonts w:ascii="Wingdings" w:hAnsi="Wingdings" w:hint="default"/>
      </w:rPr>
    </w:lvl>
  </w:abstractNum>
  <w:abstractNum w:abstractNumId="27" w15:restartNumberingAfterBreak="0">
    <w:nsid w:val="671C76A2"/>
    <w:multiLevelType w:val="multilevel"/>
    <w:tmpl w:val="CCDEE58A"/>
    <w:lvl w:ilvl="0">
      <w:start w:val="1"/>
      <w:numFmt w:val="bullet"/>
      <w:lvlText w:val=""/>
      <w:lvlJc w:val="left"/>
      <w:pPr>
        <w:ind w:left="960" w:hanging="360"/>
      </w:pPr>
      <w:rPr>
        <w:rFonts w:ascii="Symbol" w:hAnsi="Symbol" w:hint="default"/>
        <w:color w:val="0F7A7C" w:themeColor="text2" w:themeShade="B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8D1133"/>
    <w:multiLevelType w:val="hybridMultilevel"/>
    <w:tmpl w:val="15E675C4"/>
    <w:lvl w:ilvl="0" w:tplc="4E54771E">
      <w:start w:val="1"/>
      <w:numFmt w:val="bullet"/>
      <w:lvlText w:val=""/>
      <w:lvlJc w:val="left"/>
      <w:pPr>
        <w:ind w:left="-1800" w:hanging="360"/>
      </w:pPr>
      <w:rPr>
        <w:rFonts w:ascii="Symbol" w:hAnsi="Symbol" w:hint="default"/>
        <w:b/>
        <w:bCs/>
        <w:i w:val="0"/>
        <w:iCs w:val="0"/>
        <w:color w:val="0F7A7C" w:themeColor="text2" w:themeShade="BF"/>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9" w15:restartNumberingAfterBreak="0">
    <w:nsid w:val="6E24308D"/>
    <w:multiLevelType w:val="multilevel"/>
    <w:tmpl w:val="6A18886E"/>
    <w:lvl w:ilvl="0">
      <w:start w:val="1"/>
      <w:numFmt w:val="bullet"/>
      <w:pStyle w:val="Bullets"/>
      <w:lvlText w:val="•"/>
      <w:lvlJc w:val="left"/>
      <w:pPr>
        <w:ind w:left="288" w:hanging="288"/>
      </w:pPr>
      <w:rPr>
        <w:rFonts w:ascii="Times New Roman" w:hAnsi="Times New Roman" w:cs="Times New Roman" w:hint="default"/>
        <w:b/>
        <w:i w:val="0"/>
        <w:color w:val="F86C06" w:themeColor="accent4"/>
        <w:sz w:val="28"/>
      </w:rPr>
    </w:lvl>
    <w:lvl w:ilvl="1">
      <w:start w:val="1"/>
      <w:numFmt w:val="bullet"/>
      <w:lvlText w:val="•"/>
      <w:lvlJc w:val="left"/>
      <w:pPr>
        <w:ind w:left="1008" w:hanging="288"/>
      </w:pPr>
      <w:rPr>
        <w:rFonts w:ascii="Times New Roman" w:hAnsi="Times New Roman" w:cs="Times New Roman" w:hint="default"/>
        <w:b/>
        <w:i w:val="0"/>
        <w:color w:val="E5E5E5" w:themeColor="background2"/>
        <w:sz w:val="28"/>
      </w:rPr>
    </w:lvl>
    <w:lvl w:ilvl="2">
      <w:start w:val="1"/>
      <w:numFmt w:val="bullet"/>
      <w:pStyle w:val="Bullets3"/>
      <w:lvlText w:val=""/>
      <w:lvlJc w:val="left"/>
      <w:pPr>
        <w:ind w:left="1728" w:hanging="288"/>
      </w:pPr>
      <w:rPr>
        <w:rFonts w:ascii="Symbol" w:hAnsi="Symbol" w:hint="default"/>
        <w:color w:val="595959" w:themeColor="text1" w:themeTint="A6"/>
      </w:rPr>
    </w:lvl>
    <w:lvl w:ilvl="3">
      <w:start w:val="1"/>
      <w:numFmt w:val="bullet"/>
      <w:pStyle w:val="Bullets4"/>
      <w:lvlText w:val=""/>
      <w:lvlJc w:val="left"/>
      <w:pPr>
        <w:ind w:left="2448" w:hanging="288"/>
      </w:pPr>
      <w:rPr>
        <w:rFonts w:ascii="Symbol" w:hAnsi="Symbol" w:hint="default"/>
        <w:color w:val="595959" w:themeColor="text1" w:themeTint="A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7235A0"/>
    <w:multiLevelType w:val="hybridMultilevel"/>
    <w:tmpl w:val="F774A342"/>
    <w:lvl w:ilvl="0" w:tplc="4E54771E">
      <w:start w:val="1"/>
      <w:numFmt w:val="bullet"/>
      <w:lvlText w:val=""/>
      <w:lvlJc w:val="left"/>
      <w:pPr>
        <w:ind w:left="360" w:hanging="360"/>
      </w:pPr>
      <w:rPr>
        <w:rFonts w:ascii="Symbol" w:hAnsi="Symbol" w:hint="default"/>
        <w:color w:val="0F7A7C"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C828EA"/>
    <w:multiLevelType w:val="multilevel"/>
    <w:tmpl w:val="C80AE12E"/>
    <w:lvl w:ilvl="0">
      <w:start w:val="1"/>
      <w:numFmt w:val="bullet"/>
      <w:lvlText w:val=""/>
      <w:lvlJc w:val="left"/>
      <w:pPr>
        <w:ind w:left="960" w:hanging="360"/>
      </w:pPr>
      <w:rPr>
        <w:rFonts w:ascii="Symbol" w:hAnsi="Symbol" w:hint="default"/>
        <w:b/>
        <w:bCs/>
        <w:i w:val="0"/>
        <w:iCs w:val="0"/>
        <w:color w:val="0F7A7C" w:themeColor="text2" w:themeShade="B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163C67"/>
    <w:multiLevelType w:val="multilevel"/>
    <w:tmpl w:val="037E3964"/>
    <w:numStyleLink w:val="BulletsStyle"/>
  </w:abstractNum>
  <w:num w:numId="1" w16cid:durableId="1710303005">
    <w:abstractNumId w:val="9"/>
  </w:num>
  <w:num w:numId="2" w16cid:durableId="1970819338">
    <w:abstractNumId w:val="4"/>
  </w:num>
  <w:num w:numId="3" w16cid:durableId="1349258953">
    <w:abstractNumId w:val="22"/>
  </w:num>
  <w:num w:numId="4" w16cid:durableId="1396706580">
    <w:abstractNumId w:val="11"/>
  </w:num>
  <w:num w:numId="5" w16cid:durableId="315454596">
    <w:abstractNumId w:val="25"/>
  </w:num>
  <w:num w:numId="6" w16cid:durableId="1909149242">
    <w:abstractNumId w:val="32"/>
  </w:num>
  <w:num w:numId="7" w16cid:durableId="579146608">
    <w:abstractNumId w:val="3"/>
  </w:num>
  <w:num w:numId="8" w16cid:durableId="1322655438">
    <w:abstractNumId w:val="0"/>
  </w:num>
  <w:num w:numId="9" w16cid:durableId="655261302">
    <w:abstractNumId w:val="5"/>
  </w:num>
  <w:num w:numId="10" w16cid:durableId="1595240492">
    <w:abstractNumId w:val="2"/>
  </w:num>
  <w:num w:numId="11" w16cid:durableId="12576675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1129677">
    <w:abstractNumId w:val="20"/>
  </w:num>
  <w:num w:numId="13" w16cid:durableId="577982517">
    <w:abstractNumId w:val="13"/>
  </w:num>
  <w:num w:numId="14" w16cid:durableId="894924247">
    <w:abstractNumId w:val="7"/>
  </w:num>
  <w:num w:numId="15" w16cid:durableId="768550564">
    <w:abstractNumId w:val="1"/>
  </w:num>
  <w:num w:numId="16" w16cid:durableId="614948377">
    <w:abstractNumId w:val="29"/>
  </w:num>
  <w:num w:numId="17" w16cid:durableId="1693068421">
    <w:abstractNumId w:val="24"/>
  </w:num>
  <w:num w:numId="18" w16cid:durableId="1711760827">
    <w:abstractNumId w:val="23"/>
  </w:num>
  <w:num w:numId="19" w16cid:durableId="1311441115">
    <w:abstractNumId w:val="12"/>
  </w:num>
  <w:num w:numId="20" w16cid:durableId="1232547301">
    <w:abstractNumId w:val="14"/>
  </w:num>
  <w:num w:numId="21" w16cid:durableId="309793730">
    <w:abstractNumId w:val="6"/>
  </w:num>
  <w:num w:numId="22" w16cid:durableId="575824503">
    <w:abstractNumId w:val="26"/>
  </w:num>
  <w:num w:numId="23" w16cid:durableId="1275483599">
    <w:abstractNumId w:val="27"/>
  </w:num>
  <w:num w:numId="24" w16cid:durableId="11997059">
    <w:abstractNumId w:val="18"/>
  </w:num>
  <w:num w:numId="25" w16cid:durableId="121965507">
    <w:abstractNumId w:val="28"/>
  </w:num>
  <w:num w:numId="26" w16cid:durableId="403185484">
    <w:abstractNumId w:val="31"/>
  </w:num>
  <w:num w:numId="27" w16cid:durableId="1133869096">
    <w:abstractNumId w:val="30"/>
  </w:num>
  <w:num w:numId="28" w16cid:durableId="135489732">
    <w:abstractNumId w:val="21"/>
  </w:num>
  <w:num w:numId="29" w16cid:durableId="2098794138">
    <w:abstractNumId w:val="16"/>
  </w:num>
  <w:num w:numId="30" w16cid:durableId="1796868432">
    <w:abstractNumId w:val="17"/>
  </w:num>
  <w:num w:numId="31" w16cid:durableId="757020500">
    <w:abstractNumId w:val="8"/>
  </w:num>
  <w:num w:numId="32" w16cid:durableId="343899729">
    <w:abstractNumId w:val="19"/>
  </w:num>
  <w:num w:numId="33" w16cid:durableId="1421020649">
    <w:abstractNumId w:val="10"/>
  </w:num>
  <w:num w:numId="34" w16cid:durableId="14680076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956"/>
    <w:rsid w:val="00034A23"/>
    <w:rsid w:val="00064F32"/>
    <w:rsid w:val="00067C72"/>
    <w:rsid w:val="00071523"/>
    <w:rsid w:val="00075F10"/>
    <w:rsid w:val="00076429"/>
    <w:rsid w:val="00083776"/>
    <w:rsid w:val="00095EBC"/>
    <w:rsid w:val="000B14E0"/>
    <w:rsid w:val="000E4B7B"/>
    <w:rsid w:val="000E4F95"/>
    <w:rsid w:val="000F71A8"/>
    <w:rsid w:val="00101FB7"/>
    <w:rsid w:val="00113C57"/>
    <w:rsid w:val="00123D7F"/>
    <w:rsid w:val="00157DF0"/>
    <w:rsid w:val="00192EFF"/>
    <w:rsid w:val="001B40C9"/>
    <w:rsid w:val="001B4DFB"/>
    <w:rsid w:val="001C2613"/>
    <w:rsid w:val="001F3E61"/>
    <w:rsid w:val="001F68EE"/>
    <w:rsid w:val="00201A4D"/>
    <w:rsid w:val="00223359"/>
    <w:rsid w:val="00225DD0"/>
    <w:rsid w:val="002579F1"/>
    <w:rsid w:val="00284914"/>
    <w:rsid w:val="002B15C7"/>
    <w:rsid w:val="002B2E0D"/>
    <w:rsid w:val="002E1DD7"/>
    <w:rsid w:val="00331DF0"/>
    <w:rsid w:val="00335436"/>
    <w:rsid w:val="0038299A"/>
    <w:rsid w:val="003A0BD3"/>
    <w:rsid w:val="003B1A9E"/>
    <w:rsid w:val="003D0655"/>
    <w:rsid w:val="003D3561"/>
    <w:rsid w:val="003D7144"/>
    <w:rsid w:val="004157EE"/>
    <w:rsid w:val="00435149"/>
    <w:rsid w:val="0043637D"/>
    <w:rsid w:val="004550B8"/>
    <w:rsid w:val="004556BC"/>
    <w:rsid w:val="00456816"/>
    <w:rsid w:val="004604F4"/>
    <w:rsid w:val="004633CB"/>
    <w:rsid w:val="00473876"/>
    <w:rsid w:val="00473F68"/>
    <w:rsid w:val="00485141"/>
    <w:rsid w:val="004A1070"/>
    <w:rsid w:val="004B546F"/>
    <w:rsid w:val="004B7429"/>
    <w:rsid w:val="004D13B3"/>
    <w:rsid w:val="004D1F2A"/>
    <w:rsid w:val="004D51A5"/>
    <w:rsid w:val="004F4B79"/>
    <w:rsid w:val="00515A87"/>
    <w:rsid w:val="0053251F"/>
    <w:rsid w:val="00536604"/>
    <w:rsid w:val="00562615"/>
    <w:rsid w:val="00565D94"/>
    <w:rsid w:val="005834D1"/>
    <w:rsid w:val="00592C46"/>
    <w:rsid w:val="005958ED"/>
    <w:rsid w:val="005C098E"/>
    <w:rsid w:val="005C4C6E"/>
    <w:rsid w:val="005D333E"/>
    <w:rsid w:val="005D3EC7"/>
    <w:rsid w:val="005D4824"/>
    <w:rsid w:val="005E5839"/>
    <w:rsid w:val="005F104B"/>
    <w:rsid w:val="005F1318"/>
    <w:rsid w:val="00605EA4"/>
    <w:rsid w:val="0061380A"/>
    <w:rsid w:val="0061511B"/>
    <w:rsid w:val="0065562F"/>
    <w:rsid w:val="006723C2"/>
    <w:rsid w:val="00683446"/>
    <w:rsid w:val="0069411A"/>
    <w:rsid w:val="006B7841"/>
    <w:rsid w:val="006C3244"/>
    <w:rsid w:val="006D265E"/>
    <w:rsid w:val="006E7D08"/>
    <w:rsid w:val="006F7882"/>
    <w:rsid w:val="00702512"/>
    <w:rsid w:val="0071600C"/>
    <w:rsid w:val="00726F27"/>
    <w:rsid w:val="00732827"/>
    <w:rsid w:val="007478BF"/>
    <w:rsid w:val="00756510"/>
    <w:rsid w:val="007661F3"/>
    <w:rsid w:val="00783E1E"/>
    <w:rsid w:val="0078544A"/>
    <w:rsid w:val="00794E91"/>
    <w:rsid w:val="007B16C3"/>
    <w:rsid w:val="007D257C"/>
    <w:rsid w:val="008036EB"/>
    <w:rsid w:val="008050A4"/>
    <w:rsid w:val="00813445"/>
    <w:rsid w:val="00827D69"/>
    <w:rsid w:val="00836003"/>
    <w:rsid w:val="00842597"/>
    <w:rsid w:val="00857F2F"/>
    <w:rsid w:val="00862A05"/>
    <w:rsid w:val="008667BA"/>
    <w:rsid w:val="00870BF3"/>
    <w:rsid w:val="00874DDF"/>
    <w:rsid w:val="00882339"/>
    <w:rsid w:val="008D668A"/>
    <w:rsid w:val="008E2DBB"/>
    <w:rsid w:val="008E6A61"/>
    <w:rsid w:val="00901573"/>
    <w:rsid w:val="00901C71"/>
    <w:rsid w:val="009078B1"/>
    <w:rsid w:val="00980C88"/>
    <w:rsid w:val="00983171"/>
    <w:rsid w:val="00997932"/>
    <w:rsid w:val="009A19FD"/>
    <w:rsid w:val="009B156B"/>
    <w:rsid w:val="009B44BD"/>
    <w:rsid w:val="009E1DF6"/>
    <w:rsid w:val="009F09AF"/>
    <w:rsid w:val="009F2BDF"/>
    <w:rsid w:val="00A017CF"/>
    <w:rsid w:val="00A07E13"/>
    <w:rsid w:val="00A3670A"/>
    <w:rsid w:val="00A42B8B"/>
    <w:rsid w:val="00A52104"/>
    <w:rsid w:val="00A94194"/>
    <w:rsid w:val="00AB4280"/>
    <w:rsid w:val="00B07920"/>
    <w:rsid w:val="00B32A17"/>
    <w:rsid w:val="00B342D1"/>
    <w:rsid w:val="00B454E8"/>
    <w:rsid w:val="00B50B95"/>
    <w:rsid w:val="00B7216A"/>
    <w:rsid w:val="00BE2CDB"/>
    <w:rsid w:val="00C07DAB"/>
    <w:rsid w:val="00C17956"/>
    <w:rsid w:val="00C45A23"/>
    <w:rsid w:val="00C46F82"/>
    <w:rsid w:val="00C479C0"/>
    <w:rsid w:val="00C5429C"/>
    <w:rsid w:val="00C57529"/>
    <w:rsid w:val="00C67B9B"/>
    <w:rsid w:val="00C80794"/>
    <w:rsid w:val="00C83F5E"/>
    <w:rsid w:val="00C9600F"/>
    <w:rsid w:val="00CA4F10"/>
    <w:rsid w:val="00CA7626"/>
    <w:rsid w:val="00CB48A0"/>
    <w:rsid w:val="00CE0177"/>
    <w:rsid w:val="00CF367B"/>
    <w:rsid w:val="00D43274"/>
    <w:rsid w:val="00D44DC9"/>
    <w:rsid w:val="00D46E66"/>
    <w:rsid w:val="00D60EF1"/>
    <w:rsid w:val="00D626D0"/>
    <w:rsid w:val="00D9290E"/>
    <w:rsid w:val="00DA6E07"/>
    <w:rsid w:val="00DD4D9B"/>
    <w:rsid w:val="00DF0BA6"/>
    <w:rsid w:val="00E01BF3"/>
    <w:rsid w:val="00E15D67"/>
    <w:rsid w:val="00E450F1"/>
    <w:rsid w:val="00E455DB"/>
    <w:rsid w:val="00E52929"/>
    <w:rsid w:val="00E5662C"/>
    <w:rsid w:val="00E56DE9"/>
    <w:rsid w:val="00E72AF6"/>
    <w:rsid w:val="00E7338E"/>
    <w:rsid w:val="00EC20ED"/>
    <w:rsid w:val="00ED6F67"/>
    <w:rsid w:val="00EF4879"/>
    <w:rsid w:val="00EF4C56"/>
    <w:rsid w:val="00EF5C0C"/>
    <w:rsid w:val="00F026F4"/>
    <w:rsid w:val="00F069C2"/>
    <w:rsid w:val="00F104EE"/>
    <w:rsid w:val="00F615CA"/>
    <w:rsid w:val="00F63BA1"/>
    <w:rsid w:val="00F64B91"/>
    <w:rsid w:val="00F8029D"/>
    <w:rsid w:val="00F81E7F"/>
    <w:rsid w:val="00F96AE1"/>
    <w:rsid w:val="00F97565"/>
    <w:rsid w:val="00FA2ADC"/>
    <w:rsid w:val="00FB11C6"/>
    <w:rsid w:val="00FC443C"/>
    <w:rsid w:val="00FC52F3"/>
    <w:rsid w:val="00FD04F4"/>
    <w:rsid w:val="00FD45A8"/>
    <w:rsid w:val="00FE3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04B1D"/>
  <w15:docId w15:val="{71F60186-6F8E-486F-B6CB-2ADE2A883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36EB"/>
    <w:pPr>
      <w:spacing w:line="264" w:lineRule="auto"/>
    </w:pPr>
    <w:rPr>
      <w:color w:val="262626" w:themeColor="text1" w:themeTint="D9"/>
      <w:sz w:val="19"/>
      <w:szCs w:val="19"/>
    </w:rPr>
  </w:style>
  <w:style w:type="paragraph" w:styleId="Heading1">
    <w:name w:val="heading 1"/>
    <w:basedOn w:val="Normal"/>
    <w:next w:val="IntroCopy"/>
    <w:link w:val="Heading1Char"/>
    <w:uiPriority w:val="9"/>
    <w:rsid w:val="007661F3"/>
    <w:pPr>
      <w:spacing w:before="320" w:after="0"/>
      <w:outlineLvl w:val="0"/>
    </w:pPr>
    <w:rPr>
      <w:rFonts w:asciiTheme="majorHAnsi" w:hAnsiTheme="majorHAnsi"/>
      <w:color w:val="15A4A7" w:themeColor="accent1"/>
      <w:sz w:val="36"/>
    </w:rPr>
  </w:style>
  <w:style w:type="paragraph" w:styleId="Heading2">
    <w:name w:val="heading 2"/>
    <w:basedOn w:val="Normal"/>
    <w:next w:val="P1"/>
    <w:link w:val="Heading2Char"/>
    <w:uiPriority w:val="9"/>
    <w:unhideWhenUsed/>
    <w:rsid w:val="007661F3"/>
    <w:pPr>
      <w:spacing w:before="360" w:after="80"/>
      <w:outlineLvl w:val="1"/>
    </w:pPr>
    <w:rPr>
      <w:rFonts w:asciiTheme="majorHAnsi" w:hAnsiTheme="majorHAnsi"/>
      <w:color w:val="007280" w:themeColor="accent2"/>
      <w:sz w:val="28"/>
    </w:rPr>
  </w:style>
  <w:style w:type="paragraph" w:styleId="Heading3">
    <w:name w:val="heading 3"/>
    <w:basedOn w:val="Normal"/>
    <w:next w:val="P1"/>
    <w:link w:val="Heading3Char"/>
    <w:uiPriority w:val="9"/>
    <w:unhideWhenUsed/>
    <w:rsid w:val="008036EB"/>
    <w:pPr>
      <w:spacing w:before="320" w:after="80"/>
      <w:outlineLvl w:val="2"/>
    </w:pPr>
    <w:rPr>
      <w:rFonts w:asciiTheme="majorHAnsi" w:hAnsiTheme="majorHAnsi"/>
      <w:sz w:val="22"/>
    </w:rPr>
  </w:style>
  <w:style w:type="paragraph" w:styleId="Heading4">
    <w:name w:val="heading 4"/>
    <w:basedOn w:val="Normal"/>
    <w:next w:val="P1"/>
    <w:link w:val="Heading4Char"/>
    <w:uiPriority w:val="9"/>
    <w:unhideWhenUsed/>
    <w:rsid w:val="008036EB"/>
    <w:pPr>
      <w:spacing w:before="280" w:after="40"/>
      <w:outlineLvl w:val="3"/>
    </w:pPr>
    <w:rPr>
      <w:rFonts w:asciiTheme="majorHAnsi" w:hAnsiTheme="majorHAnsi"/>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4C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4C6E"/>
  </w:style>
  <w:style w:type="paragraph" w:styleId="Footer">
    <w:name w:val="footer"/>
    <w:basedOn w:val="Normal"/>
    <w:link w:val="FooterChar"/>
    <w:uiPriority w:val="99"/>
    <w:unhideWhenUsed/>
    <w:rsid w:val="005C4C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4C6E"/>
  </w:style>
  <w:style w:type="paragraph" w:styleId="BalloonText">
    <w:name w:val="Balloon Text"/>
    <w:basedOn w:val="Normal"/>
    <w:link w:val="BalloonTextChar"/>
    <w:uiPriority w:val="99"/>
    <w:semiHidden/>
    <w:unhideWhenUsed/>
    <w:rsid w:val="005C4C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C6E"/>
    <w:rPr>
      <w:rFonts w:ascii="Tahoma" w:hAnsi="Tahoma" w:cs="Tahoma"/>
      <w:sz w:val="16"/>
      <w:szCs w:val="16"/>
    </w:rPr>
  </w:style>
  <w:style w:type="character" w:customStyle="1" w:styleId="Heading1Char">
    <w:name w:val="Heading 1 Char"/>
    <w:basedOn w:val="DefaultParagraphFont"/>
    <w:link w:val="Heading1"/>
    <w:uiPriority w:val="9"/>
    <w:rsid w:val="007661F3"/>
    <w:rPr>
      <w:rFonts w:asciiTheme="majorHAnsi" w:hAnsiTheme="majorHAnsi"/>
      <w:color w:val="15A4A7" w:themeColor="accent1"/>
      <w:sz w:val="36"/>
      <w:szCs w:val="19"/>
    </w:rPr>
  </w:style>
  <w:style w:type="character" w:customStyle="1" w:styleId="Heading2Char">
    <w:name w:val="Heading 2 Char"/>
    <w:basedOn w:val="DefaultParagraphFont"/>
    <w:link w:val="Heading2"/>
    <w:uiPriority w:val="9"/>
    <w:rsid w:val="007661F3"/>
    <w:rPr>
      <w:rFonts w:asciiTheme="majorHAnsi" w:hAnsiTheme="majorHAnsi"/>
      <w:color w:val="007280" w:themeColor="accent2"/>
      <w:sz w:val="28"/>
      <w:szCs w:val="19"/>
    </w:rPr>
  </w:style>
  <w:style w:type="character" w:customStyle="1" w:styleId="Heading3Char">
    <w:name w:val="Heading 3 Char"/>
    <w:basedOn w:val="DefaultParagraphFont"/>
    <w:link w:val="Heading3"/>
    <w:uiPriority w:val="9"/>
    <w:rsid w:val="008036EB"/>
    <w:rPr>
      <w:rFonts w:asciiTheme="majorHAnsi" w:hAnsiTheme="majorHAnsi"/>
      <w:color w:val="262626" w:themeColor="text1" w:themeTint="D9"/>
      <w:szCs w:val="19"/>
    </w:rPr>
  </w:style>
  <w:style w:type="paragraph" w:customStyle="1" w:styleId="IntroCopy">
    <w:name w:val="Intro Copy"/>
    <w:basedOn w:val="Normal"/>
    <w:qFormat/>
    <w:rsid w:val="00075F10"/>
    <w:pPr>
      <w:spacing w:after="80"/>
    </w:pPr>
    <w:rPr>
      <w:color w:val="15A4A7" w:themeColor="accent1"/>
      <w:sz w:val="28"/>
      <w:szCs w:val="25"/>
    </w:rPr>
  </w:style>
  <w:style w:type="character" w:customStyle="1" w:styleId="Heading4Char">
    <w:name w:val="Heading 4 Char"/>
    <w:basedOn w:val="DefaultParagraphFont"/>
    <w:link w:val="Heading4"/>
    <w:uiPriority w:val="9"/>
    <w:rsid w:val="008036EB"/>
    <w:rPr>
      <w:rFonts w:asciiTheme="majorHAnsi" w:hAnsiTheme="majorHAnsi"/>
      <w:sz w:val="19"/>
      <w:szCs w:val="19"/>
    </w:rPr>
  </w:style>
  <w:style w:type="paragraph" w:styleId="ListParagraph">
    <w:name w:val="List Paragraph"/>
    <w:basedOn w:val="Normal"/>
    <w:uiPriority w:val="34"/>
    <w:qFormat/>
    <w:rsid w:val="0065562F"/>
    <w:pPr>
      <w:numPr>
        <w:numId w:val="2"/>
      </w:numPr>
      <w:contextualSpacing/>
    </w:pPr>
  </w:style>
  <w:style w:type="paragraph" w:customStyle="1" w:styleId="FooterPage">
    <w:name w:val="_Footer Page #"/>
    <w:basedOn w:val="Normal"/>
    <w:rsid w:val="007661F3"/>
    <w:pPr>
      <w:spacing w:after="240"/>
      <w:jc w:val="right"/>
    </w:pPr>
    <w:rPr>
      <w:rFonts w:asciiTheme="majorHAnsi" w:hAnsiTheme="majorHAnsi"/>
      <w:sz w:val="22"/>
      <w:szCs w:val="22"/>
    </w:rPr>
  </w:style>
  <w:style w:type="paragraph" w:customStyle="1" w:styleId="Footnote">
    <w:name w:val="Footnote"/>
    <w:basedOn w:val="Normal"/>
    <w:qFormat/>
    <w:rsid w:val="007661F3"/>
    <w:pPr>
      <w:jc w:val="right"/>
    </w:pPr>
    <w:rPr>
      <w:color w:val="595959" w:themeColor="text1" w:themeTint="A6"/>
      <w:sz w:val="14"/>
      <w:szCs w:val="14"/>
    </w:rPr>
  </w:style>
  <w:style w:type="paragraph" w:customStyle="1" w:styleId="SH">
    <w:name w:val="SH"/>
    <w:basedOn w:val="HeadingnoSpaceBefore"/>
    <w:qFormat/>
    <w:rsid w:val="009B156B"/>
    <w:pPr>
      <w:spacing w:before="400"/>
    </w:pPr>
  </w:style>
  <w:style w:type="paragraph" w:customStyle="1" w:styleId="Subheading1">
    <w:name w:val="_Subheading 1"/>
    <w:basedOn w:val="Heading2"/>
    <w:rsid w:val="009B156B"/>
    <w:pPr>
      <w:spacing w:before="400"/>
    </w:pPr>
    <w:rPr>
      <w:color w:val="15A4A7" w:themeColor="accent1"/>
    </w:rPr>
  </w:style>
  <w:style w:type="paragraph" w:customStyle="1" w:styleId="H2">
    <w:name w:val="H2"/>
    <w:basedOn w:val="Heading3"/>
    <w:qFormat/>
    <w:rsid w:val="00D9290E"/>
    <w:pPr>
      <w:spacing w:before="360" w:after="120"/>
    </w:pPr>
    <w:rPr>
      <w:color w:val="009BDF" w:themeColor="accent3"/>
      <w:sz w:val="21"/>
      <w:szCs w:val="21"/>
    </w:rPr>
  </w:style>
  <w:style w:type="paragraph" w:customStyle="1" w:styleId="H3">
    <w:name w:val="H3"/>
    <w:next w:val="P1"/>
    <w:qFormat/>
    <w:rsid w:val="00335436"/>
    <w:pPr>
      <w:spacing w:before="360" w:after="120"/>
    </w:pPr>
    <w:rPr>
      <w:color w:val="007280" w:themeColor="accent2"/>
      <w:sz w:val="21"/>
      <w:szCs w:val="21"/>
    </w:rPr>
  </w:style>
  <w:style w:type="paragraph" w:customStyle="1" w:styleId="HeadingnoSpaceBefore">
    <w:name w:val="_Heading (no Space Before)"/>
    <w:rsid w:val="009B156B"/>
    <w:pPr>
      <w:spacing w:before="80" w:after="440" w:line="216" w:lineRule="auto"/>
    </w:pPr>
    <w:rPr>
      <w:color w:val="15A4A7" w:themeColor="accent1"/>
      <w:spacing w:val="-14"/>
      <w:sz w:val="60"/>
      <w:szCs w:val="60"/>
    </w:rPr>
  </w:style>
  <w:style w:type="paragraph" w:customStyle="1" w:styleId="CoverTitle">
    <w:name w:val="_Cover Title"/>
    <w:basedOn w:val="Normal"/>
    <w:rsid w:val="00067C72"/>
    <w:pPr>
      <w:spacing w:line="211" w:lineRule="auto"/>
    </w:pPr>
    <w:rPr>
      <w:color w:val="007280" w:themeColor="accent2"/>
      <w:spacing w:val="-1"/>
      <w:sz w:val="66"/>
      <w:szCs w:val="66"/>
    </w:rPr>
  </w:style>
  <w:style w:type="paragraph" w:customStyle="1" w:styleId="CoverSubtitle">
    <w:name w:val="_Cover Subtitle"/>
    <w:basedOn w:val="Normal"/>
    <w:link w:val="CoverSubtitleChar"/>
    <w:rsid w:val="006D265E"/>
    <w:pPr>
      <w:spacing w:after="280"/>
    </w:pPr>
    <w:rPr>
      <w:rFonts w:asciiTheme="majorHAnsi" w:hAnsiTheme="majorHAnsi"/>
      <w:color w:val="15A4A7" w:themeColor="accent1"/>
      <w:spacing w:val="1"/>
      <w:sz w:val="32"/>
      <w:szCs w:val="32"/>
    </w:rPr>
  </w:style>
  <w:style w:type="paragraph" w:customStyle="1" w:styleId="CoverDateorOtherInfo">
    <w:name w:val="_Cover Date or Other Info"/>
    <w:basedOn w:val="Normal"/>
    <w:rsid w:val="006D265E"/>
    <w:pPr>
      <w:spacing w:after="120" w:line="240" w:lineRule="auto"/>
    </w:pPr>
    <w:rPr>
      <w:color w:val="15A4A7" w:themeColor="accent1"/>
      <w:sz w:val="32"/>
      <w:szCs w:val="28"/>
    </w:rPr>
  </w:style>
  <w:style w:type="paragraph" w:customStyle="1" w:styleId="Bullets">
    <w:name w:val="_Bullets"/>
    <w:basedOn w:val="P1"/>
    <w:rsid w:val="0038299A"/>
    <w:pPr>
      <w:numPr>
        <w:numId w:val="16"/>
      </w:numPr>
      <w:spacing w:before="0" w:after="60"/>
      <w:ind w:left="144" w:hanging="144"/>
    </w:pPr>
  </w:style>
  <w:style w:type="numbering" w:customStyle="1" w:styleId="BulletsStyle">
    <w:name w:val="_Bullets Style"/>
    <w:uiPriority w:val="99"/>
    <w:rsid w:val="001F68EE"/>
    <w:pPr>
      <w:numPr>
        <w:numId w:val="5"/>
      </w:numPr>
    </w:pPr>
  </w:style>
  <w:style w:type="paragraph" w:customStyle="1" w:styleId="P1">
    <w:name w:val="P1"/>
    <w:basedOn w:val="Normal"/>
    <w:link w:val="P1Char"/>
    <w:qFormat/>
    <w:rsid w:val="0038299A"/>
    <w:pPr>
      <w:spacing w:before="40" w:after="160"/>
    </w:pPr>
    <w:rPr>
      <w:color w:val="000000" w:themeColor="text1"/>
      <w:sz w:val="21"/>
      <w:szCs w:val="21"/>
    </w:rPr>
  </w:style>
  <w:style w:type="character" w:styleId="PlaceholderText">
    <w:name w:val="Placeholder Text"/>
    <w:basedOn w:val="DefaultParagraphFont"/>
    <w:uiPriority w:val="99"/>
    <w:semiHidden/>
    <w:rsid w:val="007B16C3"/>
    <w:rPr>
      <w:color w:val="808080"/>
    </w:rPr>
  </w:style>
  <w:style w:type="paragraph" w:customStyle="1" w:styleId="PullQuote">
    <w:name w:val="_Pull Quote"/>
    <w:basedOn w:val="Normal"/>
    <w:rsid w:val="00B50B95"/>
    <w:pPr>
      <w:pBdr>
        <w:top w:val="single" w:sz="4" w:space="5" w:color="FFCE34" w:themeColor="accent5"/>
        <w:left w:val="single" w:sz="4" w:space="5" w:color="FFCE34" w:themeColor="accent5"/>
        <w:bottom w:val="single" w:sz="4" w:space="5" w:color="FFCE34" w:themeColor="accent5"/>
        <w:right w:val="single" w:sz="4" w:space="5" w:color="FFCE34" w:themeColor="accent5"/>
      </w:pBdr>
      <w:shd w:val="clear" w:color="auto" w:fill="FFCE34" w:themeFill="accent5"/>
      <w:autoSpaceDE w:val="0"/>
      <w:autoSpaceDN w:val="0"/>
      <w:adjustRightInd w:val="0"/>
      <w:spacing w:before="360" w:after="360" w:line="240" w:lineRule="auto"/>
    </w:pPr>
    <w:rPr>
      <w:rFonts w:asciiTheme="majorHAnsi" w:hAnsiTheme="majorHAnsi" w:cs="TradeGothic"/>
      <w:color w:val="404040" w:themeColor="text1" w:themeTint="BF"/>
      <w:sz w:val="26"/>
      <w:szCs w:val="20"/>
    </w:rPr>
  </w:style>
  <w:style w:type="paragraph" w:customStyle="1" w:styleId="COT">
    <w:name w:val="COT"/>
    <w:basedOn w:val="Normal"/>
    <w:qFormat/>
    <w:rsid w:val="00075F10"/>
    <w:pPr>
      <w:spacing w:line="240" w:lineRule="auto"/>
      <w:jc w:val="right"/>
    </w:pPr>
    <w:rPr>
      <w:color w:val="15A4A7" w:themeColor="accent1"/>
      <w:sz w:val="32"/>
      <w:szCs w:val="25"/>
    </w:rPr>
  </w:style>
  <w:style w:type="paragraph" w:customStyle="1" w:styleId="BreakerSubtitle">
    <w:name w:val="_Breaker Subtitle"/>
    <w:basedOn w:val="CoverSubtitle"/>
    <w:link w:val="BreakerSubtitleChar"/>
    <w:rsid w:val="00683446"/>
  </w:style>
  <w:style w:type="paragraph" w:customStyle="1" w:styleId="BreakerTitle">
    <w:name w:val="_Breaker Title"/>
    <w:basedOn w:val="CoverTitle"/>
    <w:rsid w:val="00067C72"/>
  </w:style>
  <w:style w:type="paragraph" w:customStyle="1" w:styleId="H1">
    <w:name w:val="H1"/>
    <w:basedOn w:val="Subheading1"/>
    <w:qFormat/>
    <w:rsid w:val="00D9290E"/>
    <w:pPr>
      <w:spacing w:before="360" w:after="120"/>
    </w:pPr>
  </w:style>
  <w:style w:type="paragraph" w:customStyle="1" w:styleId="Bullets2">
    <w:name w:val="_Bullets 2"/>
    <w:basedOn w:val="P1"/>
    <w:rsid w:val="00B50B95"/>
    <w:pPr>
      <w:numPr>
        <w:numId w:val="17"/>
      </w:numPr>
      <w:spacing w:before="0" w:after="60"/>
      <w:ind w:left="504" w:hanging="144"/>
    </w:pPr>
  </w:style>
  <w:style w:type="paragraph" w:customStyle="1" w:styleId="Bullets4">
    <w:name w:val="_Bullets 4"/>
    <w:basedOn w:val="P1"/>
    <w:link w:val="Bullets4Char"/>
    <w:rsid w:val="004D13B3"/>
    <w:pPr>
      <w:numPr>
        <w:ilvl w:val="3"/>
        <w:numId w:val="16"/>
      </w:numPr>
      <w:spacing w:before="0" w:after="60"/>
      <w:ind w:left="1224" w:hanging="144"/>
    </w:pPr>
  </w:style>
  <w:style w:type="paragraph" w:customStyle="1" w:styleId="Bullets3">
    <w:name w:val="_Bullets 3"/>
    <w:basedOn w:val="P1"/>
    <w:rsid w:val="004D13B3"/>
    <w:pPr>
      <w:numPr>
        <w:ilvl w:val="2"/>
        <w:numId w:val="16"/>
      </w:numPr>
      <w:spacing w:before="0" w:after="60"/>
      <w:ind w:left="864" w:hanging="144"/>
    </w:pPr>
  </w:style>
  <w:style w:type="table" w:styleId="TableGrid">
    <w:name w:val="Table Grid"/>
    <w:basedOn w:val="TableNormal"/>
    <w:uiPriority w:val="59"/>
    <w:rsid w:val="00E52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ote-Accredo">
    <w:name w:val="Quote - Accredo"/>
    <w:basedOn w:val="Normal"/>
    <w:link w:val="Quote-AccredoChar"/>
    <w:rsid w:val="00075F10"/>
    <w:pPr>
      <w:spacing w:line="240" w:lineRule="auto"/>
      <w:jc w:val="right"/>
    </w:pPr>
    <w:rPr>
      <w:rFonts w:ascii="Franklin Gothic Book" w:hAnsi="Franklin Gothic Book"/>
      <w:color w:val="5C7F71"/>
      <w:sz w:val="24"/>
      <w:szCs w:val="24"/>
    </w:rPr>
  </w:style>
  <w:style w:type="character" w:customStyle="1" w:styleId="Quote-AccredoChar">
    <w:name w:val="Quote - Accredo Char"/>
    <w:basedOn w:val="DefaultParagraphFont"/>
    <w:link w:val="Quote-Accredo"/>
    <w:rsid w:val="00075F10"/>
    <w:rPr>
      <w:rFonts w:ascii="Franklin Gothic Book" w:hAnsi="Franklin Gothic Book"/>
      <w:color w:val="5C7F71"/>
      <w:sz w:val="24"/>
      <w:szCs w:val="24"/>
    </w:rPr>
  </w:style>
  <w:style w:type="paragraph" w:customStyle="1" w:styleId="TableHeader">
    <w:name w:val="Table Header"/>
    <w:basedOn w:val="BreakerSubtitle"/>
    <w:link w:val="TableHeaderChar"/>
    <w:qFormat/>
    <w:rsid w:val="00075F10"/>
    <w:pPr>
      <w:spacing w:before="120" w:after="120"/>
      <w:jc w:val="center"/>
    </w:pPr>
    <w:rPr>
      <w:color w:val="FFFFFF" w:themeColor="background1"/>
      <w:sz w:val="24"/>
      <w:szCs w:val="24"/>
    </w:rPr>
  </w:style>
  <w:style w:type="paragraph" w:customStyle="1" w:styleId="TableText">
    <w:name w:val="Table Text"/>
    <w:basedOn w:val="Bullets4"/>
    <w:link w:val="TableTextChar"/>
    <w:qFormat/>
    <w:rsid w:val="00075F10"/>
    <w:pPr>
      <w:numPr>
        <w:ilvl w:val="0"/>
        <w:numId w:val="0"/>
      </w:numPr>
    </w:pPr>
  </w:style>
  <w:style w:type="character" w:customStyle="1" w:styleId="CoverSubtitleChar">
    <w:name w:val="_Cover Subtitle Char"/>
    <w:basedOn w:val="DefaultParagraphFont"/>
    <w:link w:val="CoverSubtitle"/>
    <w:rsid w:val="00075F10"/>
    <w:rPr>
      <w:rFonts w:asciiTheme="majorHAnsi" w:hAnsiTheme="majorHAnsi"/>
      <w:color w:val="15A4A7" w:themeColor="accent1"/>
      <w:spacing w:val="1"/>
      <w:sz w:val="32"/>
      <w:szCs w:val="32"/>
    </w:rPr>
  </w:style>
  <w:style w:type="character" w:customStyle="1" w:styleId="BreakerSubtitleChar">
    <w:name w:val="_Breaker Subtitle Char"/>
    <w:basedOn w:val="CoverSubtitleChar"/>
    <w:link w:val="BreakerSubtitle"/>
    <w:rsid w:val="00075F10"/>
    <w:rPr>
      <w:rFonts w:asciiTheme="majorHAnsi" w:hAnsiTheme="majorHAnsi"/>
      <w:color w:val="15A4A7" w:themeColor="accent1"/>
      <w:spacing w:val="1"/>
      <w:sz w:val="32"/>
      <w:szCs w:val="32"/>
    </w:rPr>
  </w:style>
  <w:style w:type="character" w:customStyle="1" w:styleId="TableHeaderChar">
    <w:name w:val="Table Header Char"/>
    <w:basedOn w:val="BreakerSubtitleChar"/>
    <w:link w:val="TableHeader"/>
    <w:rsid w:val="00075F10"/>
    <w:rPr>
      <w:rFonts w:asciiTheme="majorHAnsi" w:hAnsiTheme="majorHAnsi"/>
      <w:color w:val="FFFFFF" w:themeColor="background1"/>
      <w:spacing w:val="1"/>
      <w:sz w:val="24"/>
      <w:szCs w:val="24"/>
    </w:rPr>
  </w:style>
  <w:style w:type="character" w:styleId="IntenseEmphasis">
    <w:name w:val="Intense Emphasis"/>
    <w:aliases w:val="ER"/>
    <w:basedOn w:val="DefaultParagraphFont"/>
    <w:uiPriority w:val="1"/>
    <w:qFormat/>
    <w:rsid w:val="00983171"/>
    <w:rPr>
      <w:b/>
      <w:bCs/>
      <w:i/>
      <w:iCs/>
      <w:color w:val="15A4A7" w:themeColor="accent1"/>
    </w:rPr>
  </w:style>
  <w:style w:type="character" w:customStyle="1" w:styleId="P1Char">
    <w:name w:val="P1 Char"/>
    <w:basedOn w:val="DefaultParagraphFont"/>
    <w:link w:val="P1"/>
    <w:rsid w:val="00075F10"/>
    <w:rPr>
      <w:color w:val="000000" w:themeColor="text1"/>
      <w:sz w:val="21"/>
      <w:szCs w:val="21"/>
    </w:rPr>
  </w:style>
  <w:style w:type="character" w:customStyle="1" w:styleId="Bullets4Char">
    <w:name w:val="_Bullets 4 Char"/>
    <w:basedOn w:val="P1Char"/>
    <w:link w:val="Bullets4"/>
    <w:rsid w:val="00075F10"/>
    <w:rPr>
      <w:color w:val="000000" w:themeColor="text1"/>
      <w:sz w:val="21"/>
      <w:szCs w:val="21"/>
    </w:rPr>
  </w:style>
  <w:style w:type="character" w:customStyle="1" w:styleId="TableTextChar">
    <w:name w:val="Table Text Char"/>
    <w:basedOn w:val="Bullets4Char"/>
    <w:link w:val="TableText"/>
    <w:rsid w:val="00075F10"/>
    <w:rPr>
      <w:color w:val="000000" w:themeColor="text1"/>
      <w:sz w:val="21"/>
      <w:szCs w:val="21"/>
    </w:rPr>
  </w:style>
  <w:style w:type="paragraph" w:customStyle="1" w:styleId="Q1">
    <w:name w:val="Q1"/>
    <w:basedOn w:val="Normal"/>
    <w:next w:val="P1"/>
    <w:link w:val="Q1Char"/>
    <w:qFormat/>
    <w:rsid w:val="00983171"/>
    <w:pPr>
      <w:keepNext/>
      <w:spacing w:before="480" w:after="240" w:line="240" w:lineRule="auto"/>
      <w:ind w:hanging="360"/>
    </w:pPr>
    <w:rPr>
      <w:rFonts w:asciiTheme="majorHAnsi" w:hAnsiTheme="majorHAnsi"/>
      <w:color w:val="15A4A7" w:themeColor="accent1"/>
      <w:sz w:val="24"/>
      <w:szCs w:val="24"/>
    </w:rPr>
  </w:style>
  <w:style w:type="paragraph" w:customStyle="1" w:styleId="Q1NT">
    <w:name w:val="Q1NT"/>
    <w:basedOn w:val="Normal"/>
    <w:next w:val="P1"/>
    <w:qFormat/>
    <w:rsid w:val="00983171"/>
    <w:pPr>
      <w:keepNext/>
      <w:spacing w:after="240" w:line="240" w:lineRule="auto"/>
      <w:ind w:hanging="360"/>
    </w:pPr>
    <w:rPr>
      <w:rFonts w:asciiTheme="majorHAnsi" w:hAnsiTheme="majorHAnsi"/>
      <w:color w:val="15A4A7" w:themeColor="accent1"/>
      <w:sz w:val="24"/>
      <w:szCs w:val="24"/>
    </w:rPr>
  </w:style>
  <w:style w:type="paragraph" w:customStyle="1" w:styleId="Q2">
    <w:name w:val="Q2"/>
    <w:basedOn w:val="Q1"/>
    <w:next w:val="Normal"/>
    <w:qFormat/>
    <w:rsid w:val="00983171"/>
    <w:pPr>
      <w:ind w:left="360"/>
    </w:pPr>
  </w:style>
  <w:style w:type="paragraph" w:customStyle="1" w:styleId="Q2NT">
    <w:name w:val="Q2NT"/>
    <w:basedOn w:val="Q1NT"/>
    <w:next w:val="Normal"/>
    <w:rsid w:val="00983171"/>
    <w:pPr>
      <w:ind w:left="360"/>
    </w:pPr>
  </w:style>
  <w:style w:type="paragraph" w:customStyle="1" w:styleId="Q-1">
    <w:name w:val="Q-1"/>
    <w:basedOn w:val="Q1"/>
    <w:link w:val="Q-1Char"/>
    <w:rsid w:val="00983171"/>
  </w:style>
  <w:style w:type="paragraph" w:customStyle="1" w:styleId="SB1">
    <w:name w:val="SB1"/>
    <w:basedOn w:val="DB1"/>
    <w:qFormat/>
    <w:rsid w:val="00983171"/>
    <w:pPr>
      <w:contextualSpacing/>
    </w:pPr>
  </w:style>
  <w:style w:type="character" w:customStyle="1" w:styleId="Q1Char">
    <w:name w:val="Q1 Char"/>
    <w:basedOn w:val="DefaultParagraphFont"/>
    <w:link w:val="Q1"/>
    <w:rsid w:val="00983171"/>
    <w:rPr>
      <w:rFonts w:asciiTheme="majorHAnsi" w:hAnsiTheme="majorHAnsi"/>
      <w:color w:val="15A4A7" w:themeColor="accent1"/>
      <w:sz w:val="24"/>
      <w:szCs w:val="24"/>
    </w:rPr>
  </w:style>
  <w:style w:type="character" w:customStyle="1" w:styleId="Q-1Char">
    <w:name w:val="Q-1 Char"/>
    <w:basedOn w:val="Q1Char"/>
    <w:link w:val="Q-1"/>
    <w:rsid w:val="00983171"/>
    <w:rPr>
      <w:rFonts w:asciiTheme="majorHAnsi" w:hAnsiTheme="majorHAnsi"/>
      <w:color w:val="15A4A7" w:themeColor="accent1"/>
      <w:sz w:val="24"/>
      <w:szCs w:val="24"/>
    </w:rPr>
  </w:style>
  <w:style w:type="paragraph" w:customStyle="1" w:styleId="DB1">
    <w:name w:val="DB1"/>
    <w:basedOn w:val="Bullets"/>
    <w:qFormat/>
    <w:rsid w:val="00983171"/>
    <w:pPr>
      <w:numPr>
        <w:numId w:val="18"/>
      </w:numPr>
      <w:spacing w:after="160" w:line="240" w:lineRule="auto"/>
    </w:pPr>
  </w:style>
  <w:style w:type="paragraph" w:customStyle="1" w:styleId="SB2">
    <w:name w:val="SB2"/>
    <w:basedOn w:val="DB2"/>
    <w:qFormat/>
    <w:rsid w:val="00983171"/>
    <w:pPr>
      <w:contextualSpacing/>
    </w:pPr>
  </w:style>
  <w:style w:type="paragraph" w:customStyle="1" w:styleId="DB2">
    <w:name w:val="DB2"/>
    <w:basedOn w:val="Bullets"/>
    <w:link w:val="DB2Char"/>
    <w:qFormat/>
    <w:rsid w:val="00983171"/>
    <w:pPr>
      <w:keepLines/>
      <w:numPr>
        <w:numId w:val="19"/>
      </w:numPr>
      <w:spacing w:after="160" w:line="240" w:lineRule="auto"/>
    </w:pPr>
  </w:style>
  <w:style w:type="paragraph" w:customStyle="1" w:styleId="DB3">
    <w:name w:val="DB3"/>
    <w:basedOn w:val="DB2"/>
    <w:rsid w:val="00983171"/>
    <w:pPr>
      <w:numPr>
        <w:ilvl w:val="1"/>
      </w:numPr>
      <w:tabs>
        <w:tab w:val="num" w:pos="360"/>
      </w:tabs>
      <w:ind w:left="1080"/>
    </w:pPr>
  </w:style>
  <w:style w:type="paragraph" w:customStyle="1" w:styleId="DB4">
    <w:name w:val="DB4"/>
    <w:basedOn w:val="DB3"/>
    <w:rsid w:val="00983171"/>
    <w:pPr>
      <w:numPr>
        <w:ilvl w:val="2"/>
      </w:numPr>
      <w:tabs>
        <w:tab w:val="num" w:pos="360"/>
      </w:tabs>
      <w:ind w:left="1440"/>
    </w:pPr>
  </w:style>
  <w:style w:type="character" w:customStyle="1" w:styleId="DB2Char">
    <w:name w:val="DB2 Char"/>
    <w:basedOn w:val="DefaultParagraphFont"/>
    <w:link w:val="DB2"/>
    <w:rsid w:val="00983171"/>
    <w:rPr>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26957">
      <w:bodyDiv w:val="1"/>
      <w:marLeft w:val="0"/>
      <w:marRight w:val="0"/>
      <w:marTop w:val="0"/>
      <w:marBottom w:val="0"/>
      <w:divBdr>
        <w:top w:val="none" w:sz="0" w:space="0" w:color="auto"/>
        <w:left w:val="none" w:sz="0" w:space="0" w:color="auto"/>
        <w:bottom w:val="none" w:sz="0" w:space="0" w:color="auto"/>
        <w:right w:val="none" w:sz="0" w:space="0" w:color="auto"/>
      </w:divBdr>
    </w:div>
    <w:div w:id="16900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7503\AppData\Local\Microsoft\Windows\Temporary%20Internet%20Files\Content.IE5\1DVFZEII\2018_Accredo_Word_Template_With_Cover.dotx" TargetMode="External"/></Relationships>
</file>

<file path=word/theme/theme1.xml><?xml version="1.0" encoding="utf-8"?>
<a:theme xmlns:a="http://schemas.openxmlformats.org/drawingml/2006/main" name="Office Theme">
  <a:themeElements>
    <a:clrScheme name="2017 Accredo Colors - FINAL">
      <a:dk1>
        <a:srgbClr val="000000"/>
      </a:dk1>
      <a:lt1>
        <a:sysClr val="window" lastClr="FFFFFF"/>
      </a:lt1>
      <a:dk2>
        <a:srgbClr val="15A4A7"/>
      </a:dk2>
      <a:lt2>
        <a:srgbClr val="E5E5E5"/>
      </a:lt2>
      <a:accent1>
        <a:srgbClr val="15A4A7"/>
      </a:accent1>
      <a:accent2>
        <a:srgbClr val="007280"/>
      </a:accent2>
      <a:accent3>
        <a:srgbClr val="009BDF"/>
      </a:accent3>
      <a:accent4>
        <a:srgbClr val="F86C06"/>
      </a:accent4>
      <a:accent5>
        <a:srgbClr val="FFCE34"/>
      </a:accent5>
      <a:accent6>
        <a:srgbClr val="ADDBF0"/>
      </a:accent6>
      <a:hlink>
        <a:srgbClr val="0000FF"/>
      </a:hlink>
      <a:folHlink>
        <a:srgbClr val="F69008"/>
      </a:folHlink>
    </a:clrScheme>
    <a:fontScheme name="Express Scripts">
      <a:majorFont>
        <a:latin typeface="Franklin Gothic Medium"/>
        <a:ea typeface=""/>
        <a:cs typeface=""/>
      </a:majorFont>
      <a:minorFont>
        <a:latin typeface="Franklin Gothic Book"/>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fth Edition"/>
</file>

<file path=customXml/item2.xml><?xml version="1.0" encoding="utf-8"?>
<sisl xmlns:xsi="http://www.w3.org/2001/XMLSchema-instance" xmlns:xsd="http://www.w3.org/2001/XMLSchema" xmlns="http://www.boldonjames.com/2008/01/sie/internal/label" sislVersion="0" policy="06dbc50a-7c40-497c-8ead-392c4a2b388e" origin="userSelected">
  <element uid="id_classification_nonbusiness" value=""/>
  <element uid="3a0f620a-74f7-4504-a030-448d9ea0e08a" value=""/>
  <element uid="0bf5a77d-3f3a-4e58-9a8a-1570d5e8454d"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6" ma:contentTypeDescription="Create a new document." ma:contentTypeScope="" ma:versionID="ef762d53fbf73557421d60d66e0f1651">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09b7c7eabe1a0eadfc61db34bd5d1e87"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27905D-234A-475E-A2C1-A1B8A0D2B059}">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customXml/itemProps2.xml><?xml version="1.0" encoding="utf-8"?>
<ds:datastoreItem xmlns:ds="http://schemas.openxmlformats.org/officeDocument/2006/customXml" ds:itemID="{6DD8D18F-1A4B-44D5-98B8-9F2B6F40A55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09EC5CB-9A23-4F45-9934-3D88BCADEED5}"/>
</file>

<file path=customXml/itemProps4.xml><?xml version="1.0" encoding="utf-8"?>
<ds:datastoreItem xmlns:ds="http://schemas.openxmlformats.org/officeDocument/2006/customXml" ds:itemID="{B5E6FD98-A482-44B4-B6F1-0D88B6A4E941}"/>
</file>

<file path=customXml/itemProps5.xml><?xml version="1.0" encoding="utf-8"?>
<ds:datastoreItem xmlns:ds="http://schemas.openxmlformats.org/officeDocument/2006/customXml" ds:itemID="{A01060F8-5F32-4104-8AF3-A31176F1E6E3}"/>
</file>

<file path=docProps/app.xml><?xml version="1.0" encoding="utf-8"?>
<Properties xmlns="http://schemas.openxmlformats.org/officeDocument/2006/extended-properties" xmlns:vt="http://schemas.openxmlformats.org/officeDocument/2006/docPropsVTypes">
  <Template>2018_Accredo_Word_Template_With_Cover</Template>
  <TotalTime>2</TotalTime>
  <Pages>14</Pages>
  <Words>6199</Words>
  <Characters>35337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Express Scripts, Inc.</Company>
  <LinksUpToDate>false</LinksUpToDate>
  <CharactersWithSpaces>41454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Stumbo, Madison A. (EHQ)</dc:creator>
  <cp:lastModifiedBy>Smolens, Cynthia</cp:lastModifiedBy>
  <cp:revision>2</cp:revision>
  <cp:lastPrinted>2015-04-28T21:20:00Z</cp:lastPrinted>
  <dcterms:created xsi:type="dcterms:W3CDTF">2023-07-19T21:25:00Z</dcterms:created>
  <dcterms:modified xsi:type="dcterms:W3CDTF">2023-07-19T21:25:00Z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d20b0e67-4594-48be-a133-9c29e5f71ac0</vt:lpwstr>
  </property>
  <property fmtid="{D5CDD505-2E9C-101B-9397-08002B2CF9AE}" pid="3" name="bjSaver">
    <vt:lpwstr>GwCNjCJUilMYT3JZixyIyZWJkULWBLeg</vt:lpwstr>
  </property>
  <property fmtid="{D5CDD505-2E9C-101B-9397-08002B2CF9AE}" pid="4" name="bjDocumentSecurityLabel">
    <vt:lpwstr>Public</vt:lpwstr>
  </property>
  <property fmtid="{D5CDD505-2E9C-101B-9397-08002B2CF9AE}" pid="5" name="bjESIDataClassification">
    <vt:lpwstr>XYZZYPublicfwo[qei34890ty@^C@#%^11dc45</vt:lpwstr>
  </property>
  <property fmtid="{D5CDD505-2E9C-101B-9397-08002B2CF9AE}" pid="6" name="bjDocumentLabelXML">
    <vt:lpwstr>&lt;?xml version="1.0" encoding="us-ascii"?&gt;&lt;sisl xmlns:xsi="http://www.w3.org/2001/XMLSchema-instance" xmlns:xsd="http://www.w3.org/2001/XMLSchema" sislVersion="0" policy="06dbc50a-7c40-497c-8ead-392c4a2b388e" origin="userSelected" xmlns="http://www.boldonj</vt:lpwstr>
  </property>
  <property fmtid="{D5CDD505-2E9C-101B-9397-08002B2CF9AE}" pid="7" name="bjDocumentLabelXML-0">
    <vt:lpwstr>ames.com/2008/01/sie/internal/label"&gt;&lt;element uid="id_classification_nonbusiness" value="" /&gt;&lt;element uid="3a0f620a-74f7-4504-a030-448d9ea0e08a" value="" /&gt;&lt;element uid="0bf5a77d-3f3a-4e58-9a8a-1570d5e8454d" value="" /&gt;&lt;/sisl&gt;</vt:lpwstr>
  </property>
  <property fmtid="{D5CDD505-2E9C-101B-9397-08002B2CF9AE}" pid="8" name="bjClsUserRVM">
    <vt:lpwstr>[]</vt:lpwstr>
  </property>
  <property fmtid="{D5CDD505-2E9C-101B-9397-08002B2CF9AE}" pid="9" name="ContentTypeId">
    <vt:lpwstr>0x010100D851CF0C730E6847A2038B7F79C597C9</vt:lpwstr>
  </property>
</Properties>
</file>